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顶部是所选时间范围（今日 </w:t>
      </w:r>
      <w:r>
        <w:rPr/>
        <w:t xml:space="preserve">/ </w:t>
      </w:r>
      <w:r>
        <w:rPr/>
        <w:t xml:space="preserve">本周 </w:t>
      </w:r>
      <w:r>
        <w:rPr/>
        <w:t xml:space="preserve">/ </w:t>
      </w:r>
      <w:r>
        <w:rPr/>
        <w:t xml:space="preserve">本月 </w:t>
      </w:r>
      <w:r>
        <w:rPr/>
        <w:t xml:space="preserve">/ </w:t>
      </w:r>
      <w:r>
        <w:rPr/>
        <w:t xml:space="preserve">全部）的成本、生成次数与平均耗时，再往下是按供应商汇总的金额 </w:t>
      </w:r>
      <w:r>
        <w:rPr/>
        <w:t>TOP 3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，页面会写明这不代表免费。失败调用同样入账，真实成本以供应商账单为准。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36Rv61EYMT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