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20" w:after="560" w:line="320" w:lineRule="auto"/>
        <w:jc w:val="center"/>
      </w:pPr>
      <w:r>
        <w:rPr>
          <w:rFonts w:ascii="Aptos" w:hAnsi="Aptos"/>
          <w:b/>
          <w:i w:val="0"/>
          <w:color w:val="D8B55B"/>
          <w:sz w:val="22"/>
        </w:rPr>
        <w:t>INFINITY CLOUD SYSTEMS</w:t>
      </w:r>
    </w:p>
    <w:p>
      <w:pPr>
        <w:keepLines/>
        <w:spacing w:before="0" w:after="240" w:line="252" w:lineRule="auto"/>
        <w:jc w:val="center"/>
      </w:pPr>
      <w:r>
        <w:rPr>
          <w:rFonts w:ascii="Aptos" w:hAnsi="Aptos"/>
          <w:b/>
          <w:i w:val="0"/>
          <w:color w:val="173B2A"/>
          <w:sz w:val="60"/>
        </w:rPr>
        <w:t>Inventory Management</w:t>
        <w:br/>
        <w:t>System Proposal</w:t>
      </w:r>
    </w:p>
    <w:p>
      <w:pPr>
        <w:spacing w:before="0" w:after="600" w:line="288" w:lineRule="auto"/>
        <w:jc w:val="center"/>
      </w:pPr>
      <w:r>
        <w:rPr>
          <w:rFonts w:ascii="Aptos" w:hAnsi="Aptos"/>
          <w:b w:val="0"/>
          <w:i w:val="0"/>
          <w:color w:val="68756D"/>
          <w:sz w:val="26"/>
        </w:rPr>
        <w:t>A centralised stock-control platform for three operational locations</w:t>
      </w:r>
    </w:p>
    <w:tbl>
      <w:tblPr>
        <w:tblW w:type="dxa" w:w="9120"/>
        <w:jc w:val="center"/>
        <w:tblLayout w:type="fixed"/>
        <w:tblLook w:firstColumn="1" w:firstRow="1" w:lastColumn="0" w:lastRow="0" w:noHBand="0" w:noVBand="1" w:val="04A0"/>
        <w:tblBorders>
          <w:top w:val="nil"/>
          <w:left w:val="nil"/>
          <w:bottom w:val="nil"/>
          <w:right w:val="nil"/>
          <w:insideH w:val="nil"/>
          <w:insideV w:val="nil"/>
        </w:tblBorders>
      </w:tblPr>
      <w:tblGrid>
        <w:gridCol w:w="4560"/>
        <w:gridCol w:w="4560"/>
      </w:tblGrid>
      <w:tr>
        <w:tc>
          <w:tcPr>
            <w:tcW w:type="dxa" w:w="4560"/>
            <w:tcMar>
              <w:top w:w="220" w:type="dxa"/>
              <w:start w:w="240" w:type="dxa"/>
              <w:bottom w:w="220" w:type="dxa"/>
              <w:end w:w="240" w:type="dxa"/>
            </w:tcMar>
            <w:vAlign w:val="center"/>
            <w:shd w:fill="EFF5F1"/>
          </w:tcPr>
          <w:p>
            <w:r>
              <w:rPr>
                <w:rFonts w:ascii="Aptos" w:hAnsi="Aptos"/>
                <w:b/>
                <w:i w:val="0"/>
                <w:color w:val="68756D"/>
                <w:sz w:val="17"/>
              </w:rPr>
              <w:t>PREPARED FOR</w:t>
              <w:br/>
            </w:r>
            <w:r>
              <w:rPr>
                <w:rFonts w:ascii="Aptos" w:hAnsi="Aptos"/>
                <w:b/>
                <w:i w:val="0"/>
                <w:color w:val="173B2A"/>
                <w:sz w:val="30"/>
              </w:rPr>
              <w:t>Nardia</w:t>
            </w:r>
          </w:p>
        </w:tc>
        <w:tc>
          <w:tcPr>
            <w:tcW w:type="dxa" w:w="4560"/>
            <w:tcMar>
              <w:top w:w="220" w:type="dxa"/>
              <w:start w:w="240" w:type="dxa"/>
              <w:bottom w:w="220" w:type="dxa"/>
              <w:end w:w="240" w:type="dxa"/>
            </w:tcMar>
            <w:vAlign w:val="center"/>
            <w:shd w:fill="EFF5F1"/>
          </w:tcPr>
          <w:p>
            <w:pPr>
              <w:jc w:val="right"/>
            </w:pPr>
            <w:r>
              <w:rPr>
                <w:rFonts w:ascii="Aptos" w:hAnsi="Aptos"/>
                <w:b/>
                <w:i w:val="0"/>
                <w:color w:val="68756D"/>
                <w:sz w:val="17"/>
              </w:rPr>
              <w:t>PREPARED BY</w:t>
              <w:br/>
            </w:r>
            <w:r>
              <w:rPr>
                <w:rFonts w:ascii="Aptos" w:hAnsi="Aptos"/>
                <w:b/>
                <w:i w:val="0"/>
                <w:color w:val="173B2A"/>
                <w:sz w:val="30"/>
              </w:rPr>
              <w:t>Infinity Cloud Systems</w:t>
            </w:r>
          </w:p>
        </w:tc>
      </w:tr>
    </w:tbl>
    <w:p>
      <w:pPr>
        <w:spacing w:before="520" w:after="120" w:line="320" w:lineRule="auto"/>
        <w:jc w:val="center"/>
      </w:pPr>
      <w:r>
        <w:rPr>
          <w:rFonts w:ascii="Aptos" w:hAnsi="Aptos"/>
          <w:b w:val="0"/>
          <w:i w:val="0"/>
          <w:color w:val="68756D"/>
          <w:sz w:val="21"/>
        </w:rPr>
        <w:t>29 July 2026</w:t>
      </w:r>
    </w:p>
    <w:p>
      <w:pPr>
        <w:spacing w:before="0" w:after="720" w:line="320" w:lineRule="auto"/>
        <w:jc w:val="center"/>
      </w:pPr>
      <w:r>
        <w:rPr>
          <w:rFonts w:ascii="Aptos" w:hAnsi="Aptos"/>
          <w:b/>
          <w:i w:val="0"/>
          <w:color w:val="D8B55B"/>
          <w:sz w:val="17"/>
        </w:rPr>
        <w:t>COMMERCIAL PROPOSAL  •  VALID FOR 14 DAYS</w:t>
      </w:r>
    </w:p>
    <w:tbl>
      <w:tblPr>
        <w:tblW w:type="dxa" w:w="9120"/>
        <w:jc w:val="center"/>
        <w:tblLayout w:type="fixed"/>
        <w:tblLook w:firstColumn="1" w:firstRow="1" w:lastColumn="0" w:lastRow="0" w:noHBand="0" w:noVBand="1" w:val="04A0"/>
        <w:tblBorders>
          <w:top w:val="nil"/>
          <w:left w:val="nil"/>
          <w:bottom w:val="nil"/>
          <w:right w:val="nil"/>
          <w:insideH w:val="nil"/>
          <w:insideV w:val="nil"/>
        </w:tblBorders>
      </w:tblPr>
      <w:tblGrid>
        <w:gridCol w:w="9120"/>
      </w:tblGrid>
      <w:tr>
        <w:tc>
          <w:tcPr>
            <w:tcW w:type="dxa" w:w="9120"/>
            <w:tcMar>
              <w:top w:w="220" w:type="dxa"/>
              <w:start w:w="280" w:type="dxa"/>
              <w:bottom w:w="220" w:type="dxa"/>
              <w:end w:w="280" w:type="dxa"/>
            </w:tcMar>
            <w:vAlign w:val="center"/>
            <w:shd w:fill="173B2A"/>
          </w:tcPr>
          <w:p>
            <w:pPr>
              <w:jc w:val="center"/>
            </w:pPr>
            <w:r>
              <w:rPr>
                <w:rFonts w:ascii="Aptos" w:hAnsi="Aptos"/>
                <w:b/>
                <w:i w:val="0"/>
                <w:color w:val="FFFFFF"/>
                <w:sz w:val="28"/>
              </w:rPr>
              <w:t>One system. Three locations. Clear stock visibility.</w:t>
            </w:r>
          </w:p>
        </w:tc>
      </w:tr>
    </w:tbl>
    <w:p>
      <w:r>
        <w:br w:type="page"/>
      </w:r>
    </w:p>
    <w:p>
      <w:pPr>
        <w:pStyle w:val="Heading1"/>
        <w:keepNext/>
      </w:pPr>
      <w:r>
        <w:t>1. Executive summary</w:t>
      </w:r>
    </w:p>
    <w:p>
      <w:pPr>
        <w:spacing w:before="0" w:after="160" w:line="320" w:lineRule="auto"/>
        <w:jc w:val="left"/>
      </w:pPr>
      <w:r>
        <w:rPr>
          <w:rFonts w:ascii="Aptos" w:hAnsi="Aptos"/>
          <w:b w:val="0"/>
          <w:i w:val="0"/>
          <w:color w:val="1D2621"/>
          <w:sz w:val="22"/>
        </w:rPr>
        <w:t>Infinity Cloud Systems proposes the development of a practical inventory management system that gives management a single, reliable view of stock across HQ Steppes Road, The Hide Safaris and Changa Safari Camp. The solution will replace fragmented manual tracking with consistent stock records, controlled stock movements and management reporting.</w:t>
      </w:r>
    </w:p>
    <w:tbl>
      <w:tblPr>
        <w:tblW w:type="dxa" w:w="9120"/>
        <w:jc w:val="center"/>
        <w:tblLayout w:type="fixed"/>
        <w:tblLook w:firstColumn="1" w:firstRow="1" w:lastColumn="0" w:lastRow="0" w:noHBand="0" w:noVBand="1" w:val="04A0"/>
        <w:tblBorders>
          <w:top w:val="nil"/>
          <w:left w:val="nil"/>
          <w:bottom w:val="nil"/>
          <w:right w:val="nil"/>
          <w:insideH w:val="nil"/>
          <w:insideV w:val="nil"/>
        </w:tblBorders>
      </w:tblPr>
      <w:tblGrid>
        <w:gridCol w:w="4560"/>
        <w:gridCol w:w="4560"/>
      </w:tblGrid>
      <w:tr>
        <w:tc>
          <w:tcPr>
            <w:tcW w:type="dxa" w:w="4560"/>
            <w:tcMar>
              <w:top w:w="190" w:type="dxa"/>
              <w:start w:w="220" w:type="dxa"/>
              <w:bottom w:w="190" w:type="dxa"/>
              <w:end w:w="220" w:type="dxa"/>
            </w:tcMar>
            <w:vAlign w:val="center"/>
            <w:shd w:fill="EFF5F1"/>
          </w:tcPr>
          <w:p>
            <w:r>
              <w:rPr>
                <w:rFonts w:ascii="Aptos" w:hAnsi="Aptos"/>
                <w:b/>
                <w:i w:val="0"/>
                <w:color w:val="68756D"/>
                <w:sz w:val="17"/>
              </w:rPr>
              <w:t>DEVELOPMENT</w:t>
              <w:br/>
            </w:r>
            <w:r>
              <w:rPr>
                <w:rFonts w:ascii="Aptos" w:hAnsi="Aptos"/>
                <w:b/>
                <w:i w:val="0"/>
                <w:color w:val="173B2A"/>
                <w:sz w:val="36"/>
              </w:rPr>
              <w:t>USD $1,200</w:t>
              <w:br/>
              <w:t>once-off</w:t>
            </w:r>
          </w:p>
        </w:tc>
        <w:tc>
          <w:tcPr>
            <w:tcW w:type="dxa" w:w="4560"/>
            <w:tcMar>
              <w:top w:w="190" w:type="dxa"/>
              <w:start w:w="220" w:type="dxa"/>
              <w:bottom w:w="190" w:type="dxa"/>
              <w:end w:w="220" w:type="dxa"/>
            </w:tcMar>
            <w:vAlign w:val="center"/>
            <w:shd w:fill="FBF6E8"/>
          </w:tcPr>
          <w:p>
            <w:r>
              <w:rPr>
                <w:rFonts w:ascii="Aptos" w:hAnsi="Aptos"/>
                <w:b/>
                <w:i w:val="0"/>
                <w:color w:val="68756D"/>
                <w:sz w:val="17"/>
              </w:rPr>
              <w:t>SOFTWARE LICENCE</w:t>
              <w:br/>
            </w:r>
            <w:r>
              <w:rPr>
                <w:rFonts w:ascii="Aptos" w:hAnsi="Aptos"/>
                <w:b/>
                <w:i w:val="0"/>
                <w:color w:val="173B2A"/>
                <w:sz w:val="36"/>
              </w:rPr>
              <w:t>USD $50</w:t>
              <w:br/>
              <w:t>per month</w:t>
            </w:r>
          </w:p>
        </w:tc>
      </w:tr>
    </w:tbl>
    <w:p>
      <w:pPr>
        <w:pStyle w:val="Heading1"/>
        <w:keepNext/>
      </w:pPr>
      <w:r>
        <w:t>2. Proposed solution</w:t>
      </w:r>
    </w:p>
    <w:p>
      <w:pPr>
        <w:spacing w:before="0" w:after="160" w:line="320" w:lineRule="auto"/>
        <w:jc w:val="left"/>
      </w:pPr>
      <w:r>
        <w:rPr>
          <w:rFonts w:ascii="Aptos" w:hAnsi="Aptos"/>
          <w:b w:val="0"/>
          <w:i w:val="0"/>
          <w:color w:val="1D2621"/>
          <w:sz w:val="22"/>
        </w:rPr>
        <w:t>The proof of concept will demonstrate the complete day-to-day inventory workflow:</w:t>
      </w:r>
    </w:p>
    <w:p>
      <w:pPr>
        <w:pStyle w:val="ListBullet"/>
        <w:keepLines/>
        <w:spacing w:after="80" w:line="290" w:lineRule="auto"/>
      </w:pPr>
      <w:r>
        <w:rPr>
          <w:rFonts w:ascii="Aptos" w:hAnsi="Aptos"/>
          <w:b w:val="0"/>
          <w:i w:val="0"/>
          <w:color w:val="1D2621"/>
          <w:sz w:val="21"/>
        </w:rPr>
        <w:t>Maintain a central item catalogue with SKUs, categories, units, costs and minimum stock levels.</w:t>
      </w:r>
    </w:p>
    <w:p>
      <w:pPr>
        <w:pStyle w:val="ListBullet"/>
        <w:keepLines/>
        <w:spacing w:after="80" w:line="290" w:lineRule="auto"/>
      </w:pPr>
      <w:r>
        <w:rPr>
          <w:rFonts w:ascii="Aptos" w:hAnsi="Aptos"/>
          <w:b w:val="0"/>
          <w:i w:val="0"/>
          <w:color w:val="1D2621"/>
          <w:sz w:val="21"/>
        </w:rPr>
        <w:t>View stock balances separately for HQ Steppes Road, The Hide Safaris and Changa Safari Camp.</w:t>
      </w:r>
    </w:p>
    <w:p>
      <w:pPr>
        <w:pStyle w:val="ListBullet"/>
        <w:keepLines/>
        <w:spacing w:after="80" w:line="290" w:lineRule="auto"/>
      </w:pPr>
      <w:r>
        <w:rPr>
          <w:rFonts w:ascii="Aptos" w:hAnsi="Aptos"/>
          <w:b w:val="0"/>
          <w:i w:val="0"/>
          <w:color w:val="1D2621"/>
          <w:sz w:val="21"/>
        </w:rPr>
        <w:t>Record stock received, stock issued and transfers between locations.</w:t>
      </w:r>
    </w:p>
    <w:p>
      <w:pPr>
        <w:pStyle w:val="ListBullet"/>
        <w:keepLines/>
        <w:spacing w:after="80" w:line="290" w:lineRule="auto"/>
      </w:pPr>
      <w:r>
        <w:rPr>
          <w:rFonts w:ascii="Aptos" w:hAnsi="Aptos"/>
          <w:b w:val="0"/>
          <w:i w:val="0"/>
          <w:color w:val="1D2621"/>
          <w:sz w:val="21"/>
        </w:rPr>
        <w:t>Prevent issues or transfers that exceed available stock.</w:t>
      </w:r>
    </w:p>
    <w:p>
      <w:pPr>
        <w:pStyle w:val="ListBullet"/>
        <w:keepLines/>
        <w:spacing w:after="80" w:line="290" w:lineRule="auto"/>
      </w:pPr>
      <w:r>
        <w:rPr>
          <w:rFonts w:ascii="Aptos" w:hAnsi="Aptos"/>
          <w:b w:val="0"/>
          <w:i w:val="0"/>
          <w:color w:val="1D2621"/>
          <w:sz w:val="21"/>
        </w:rPr>
        <w:t>Flag stock lines that fall below the configured minimum level.</w:t>
      </w:r>
    </w:p>
    <w:p>
      <w:pPr>
        <w:pStyle w:val="ListBullet"/>
        <w:keepLines/>
        <w:spacing w:after="80" w:line="290" w:lineRule="auto"/>
      </w:pPr>
      <w:r>
        <w:rPr>
          <w:rFonts w:ascii="Aptos" w:hAnsi="Aptos"/>
          <w:b w:val="0"/>
          <w:i w:val="0"/>
          <w:color w:val="1D2621"/>
          <w:sz w:val="21"/>
        </w:rPr>
        <w:t>Maintain a dated movement audit trail with references, notes and the person responsible.</w:t>
      </w:r>
    </w:p>
    <w:p>
      <w:pPr>
        <w:pStyle w:val="ListBullet"/>
        <w:keepLines/>
        <w:spacing w:after="80" w:line="290" w:lineRule="auto"/>
      </w:pPr>
      <w:r>
        <w:rPr>
          <w:rFonts w:ascii="Aptos" w:hAnsi="Aptos"/>
          <w:b w:val="0"/>
          <w:i w:val="0"/>
          <w:color w:val="1D2621"/>
          <w:sz w:val="21"/>
        </w:rPr>
        <w:t>Provide dashboards, management reports and CSV/Excel exports.</w:t>
      </w:r>
    </w:p>
    <w:p>
      <w:pPr>
        <w:pStyle w:val="Heading1"/>
        <w:keepNext/>
      </w:pPr>
      <w:r>
        <w:t>3. Expected business value</w:t>
      </w:r>
    </w:p>
    <w:tbl>
      <w:tblPr>
        <w:tblStyle w:val="TableGrid"/>
        <w:tblW w:type="dxa" w:w="9120"/>
        <w:jc w:val="center"/>
        <w:tblLayout w:type="fixed"/>
        <w:tblLook w:firstColumn="1" w:firstRow="1" w:lastColumn="0" w:lastRow="0" w:noHBand="0" w:noVBand="1" w:val="04A0"/>
      </w:tblPr>
      <w:tblGrid>
        <w:gridCol w:w="2500"/>
        <w:gridCol w:w="6620"/>
      </w:tblGrid>
      <w:tr>
        <w:tc>
          <w:tcPr>
            <w:tcW w:type="dxa" w:w="2500"/>
            <w:tcMar>
              <w:top w:w="120" w:type="dxa"/>
              <w:start w:w="160" w:type="dxa"/>
              <w:bottom w:w="120" w:type="dxa"/>
              <w:end w:w="160" w:type="dxa"/>
            </w:tcMar>
            <w:vAlign w:val="center"/>
            <w:shd w:fill="EFF5F1"/>
          </w:tcPr>
          <w:p>
            <w:r>
              <w:rPr>
                <w:rFonts w:ascii="Aptos" w:hAnsi="Aptos"/>
                <w:b/>
                <w:i w:val="0"/>
                <w:color w:val="173B2A"/>
                <w:sz w:val="21"/>
              </w:rPr>
              <w:t>Visibility</w:t>
            </w:r>
          </w:p>
        </w:tc>
        <w:tc>
          <w:tcPr>
            <w:tcW w:type="dxa" w:w="6620"/>
            <w:tcMar>
              <w:top w:w="120" w:type="dxa"/>
              <w:start w:w="160" w:type="dxa"/>
              <w:bottom w:w="120" w:type="dxa"/>
              <w:end w:w="160" w:type="dxa"/>
            </w:tcMar>
            <w:vAlign w:val="center"/>
          </w:tcPr>
          <w:p>
            <w:r>
              <w:rPr>
                <w:rFonts w:ascii="Aptos" w:hAnsi="Aptos"/>
                <w:b w:val="0"/>
                <w:i w:val="0"/>
                <w:color w:val="1D2621"/>
                <w:sz w:val="21"/>
              </w:rPr>
              <w:t>A consistent view of what is available at each location.</w:t>
            </w:r>
          </w:p>
        </w:tc>
      </w:tr>
      <w:tr>
        <w:tc>
          <w:tcPr>
            <w:tcW w:type="dxa" w:w="2500"/>
            <w:tcMar>
              <w:top w:w="120" w:type="dxa"/>
              <w:start w:w="160" w:type="dxa"/>
              <w:bottom w:w="120" w:type="dxa"/>
              <w:end w:w="160" w:type="dxa"/>
            </w:tcMar>
            <w:vAlign w:val="center"/>
            <w:shd w:fill="EFF5F1"/>
          </w:tcPr>
          <w:p>
            <w:r>
              <w:rPr>
                <w:rFonts w:ascii="Aptos" w:hAnsi="Aptos"/>
                <w:b/>
                <w:i w:val="0"/>
                <w:color w:val="173B2A"/>
                <w:sz w:val="21"/>
              </w:rPr>
              <w:t>Control</w:t>
            </w:r>
          </w:p>
        </w:tc>
        <w:tc>
          <w:tcPr>
            <w:tcW w:type="dxa" w:w="6620"/>
            <w:tcMar>
              <w:top w:w="120" w:type="dxa"/>
              <w:start w:w="160" w:type="dxa"/>
              <w:bottom w:w="120" w:type="dxa"/>
              <w:end w:w="160" w:type="dxa"/>
            </w:tcMar>
            <w:vAlign w:val="center"/>
          </w:tcPr>
          <w:p>
            <w:r>
              <w:rPr>
                <w:rFonts w:ascii="Aptos" w:hAnsi="Aptos"/>
                <w:b w:val="0"/>
                <w:i w:val="0"/>
                <w:color w:val="1D2621"/>
                <w:sz w:val="21"/>
              </w:rPr>
              <w:t>Traceable receiving, issuing and transfers with validation.</w:t>
            </w:r>
          </w:p>
        </w:tc>
      </w:tr>
      <w:tr>
        <w:tc>
          <w:tcPr>
            <w:tcW w:type="dxa" w:w="2500"/>
            <w:tcMar>
              <w:top w:w="120" w:type="dxa"/>
              <w:start w:w="160" w:type="dxa"/>
              <w:bottom w:w="120" w:type="dxa"/>
              <w:end w:w="160" w:type="dxa"/>
            </w:tcMar>
            <w:vAlign w:val="center"/>
            <w:shd w:fill="EFF5F1"/>
          </w:tcPr>
          <w:p>
            <w:r>
              <w:rPr>
                <w:rFonts w:ascii="Aptos" w:hAnsi="Aptos"/>
                <w:b/>
                <w:i w:val="0"/>
                <w:color w:val="173B2A"/>
                <w:sz w:val="21"/>
              </w:rPr>
              <w:t>Planning</w:t>
            </w:r>
          </w:p>
        </w:tc>
        <w:tc>
          <w:tcPr>
            <w:tcW w:type="dxa" w:w="6620"/>
            <w:tcMar>
              <w:top w:w="120" w:type="dxa"/>
              <w:start w:w="160" w:type="dxa"/>
              <w:bottom w:w="120" w:type="dxa"/>
              <w:end w:w="160" w:type="dxa"/>
            </w:tcMar>
            <w:vAlign w:val="center"/>
          </w:tcPr>
          <w:p>
            <w:r>
              <w:rPr>
                <w:rFonts w:ascii="Aptos" w:hAnsi="Aptos"/>
                <w:b w:val="0"/>
                <w:i w:val="0"/>
                <w:color w:val="1D2621"/>
                <w:sz w:val="21"/>
              </w:rPr>
              <w:t>Earlier identification of shortages and replenishment needs.</w:t>
            </w:r>
          </w:p>
        </w:tc>
      </w:tr>
      <w:tr>
        <w:tc>
          <w:tcPr>
            <w:tcW w:type="dxa" w:w="2500"/>
            <w:tcMar>
              <w:top w:w="120" w:type="dxa"/>
              <w:start w:w="160" w:type="dxa"/>
              <w:bottom w:w="120" w:type="dxa"/>
              <w:end w:w="160" w:type="dxa"/>
            </w:tcMar>
            <w:vAlign w:val="center"/>
            <w:shd w:fill="EFF5F1"/>
          </w:tcPr>
          <w:p>
            <w:r>
              <w:rPr>
                <w:rFonts w:ascii="Aptos" w:hAnsi="Aptos"/>
                <w:b/>
                <w:i w:val="0"/>
                <w:color w:val="173B2A"/>
                <w:sz w:val="21"/>
              </w:rPr>
              <w:t>Accountability</w:t>
            </w:r>
          </w:p>
        </w:tc>
        <w:tc>
          <w:tcPr>
            <w:tcW w:type="dxa" w:w="6620"/>
            <w:tcMar>
              <w:top w:w="120" w:type="dxa"/>
              <w:start w:w="160" w:type="dxa"/>
              <w:bottom w:w="120" w:type="dxa"/>
              <w:end w:w="160" w:type="dxa"/>
            </w:tcMar>
            <w:vAlign w:val="center"/>
          </w:tcPr>
          <w:p>
            <w:r>
              <w:rPr>
                <w:rFonts w:ascii="Aptos" w:hAnsi="Aptos"/>
                <w:b w:val="0"/>
                <w:i w:val="0"/>
                <w:color w:val="1D2621"/>
                <w:sz w:val="21"/>
              </w:rPr>
              <w:t>A permanent movement history for operational review.</w:t>
            </w:r>
          </w:p>
        </w:tc>
      </w:tr>
    </w:tbl>
    <w:p>
      <w:r>
        <w:br w:type="page"/>
      </w:r>
    </w:p>
    <w:p>
      <w:pPr>
        <w:pStyle w:val="Heading1"/>
        <w:keepNext/>
      </w:pPr>
      <w:r>
        <w:t>4. Delivery process to proof of concept</w:t>
      </w:r>
    </w:p>
    <w:p>
      <w:pPr>
        <w:pStyle w:val="ListNumber"/>
        <w:keepLines/>
        <w:spacing w:after="120" w:line="290" w:lineRule="auto"/>
      </w:pPr>
      <w:r>
        <w:rPr>
          <w:rFonts w:ascii="Aptos" w:hAnsi="Aptos"/>
          <w:b/>
          <w:i w:val="0"/>
          <w:color w:val="173B2A"/>
          <w:sz w:val="21"/>
        </w:rPr>
        <w:t xml:space="preserve">Discovery and workflow confirmation — </w:t>
      </w:r>
      <w:r>
        <w:rPr>
          <w:rFonts w:ascii="Aptos" w:hAnsi="Aptos"/>
          <w:b w:val="0"/>
          <w:i w:val="0"/>
          <w:color w:val="1D2621"/>
          <w:sz w:val="21"/>
        </w:rPr>
        <w:t>Confirm users, stock categories, units, source records, approval needs and required reports.</w:t>
      </w:r>
    </w:p>
    <w:p>
      <w:pPr>
        <w:pStyle w:val="ListNumber"/>
        <w:keepLines/>
        <w:spacing w:after="120" w:line="290" w:lineRule="auto"/>
      </w:pPr>
      <w:r>
        <w:rPr>
          <w:rFonts w:ascii="Aptos" w:hAnsi="Aptos"/>
          <w:b/>
          <w:i w:val="0"/>
          <w:color w:val="173B2A"/>
          <w:sz w:val="21"/>
        </w:rPr>
        <w:t xml:space="preserve">System configuration — </w:t>
      </w:r>
      <w:r>
        <w:rPr>
          <w:rFonts w:ascii="Aptos" w:hAnsi="Aptos"/>
          <w:b w:val="0"/>
          <w:i w:val="0"/>
          <w:color w:val="1D2621"/>
          <w:sz w:val="21"/>
        </w:rPr>
        <w:t>Configure locations, the item catalogue, minimum levels, branding and database rules.</w:t>
      </w:r>
    </w:p>
    <w:p>
      <w:pPr>
        <w:pStyle w:val="ListNumber"/>
        <w:keepLines/>
        <w:spacing w:after="120" w:line="290" w:lineRule="auto"/>
      </w:pPr>
      <w:r>
        <w:rPr>
          <w:rFonts w:ascii="Aptos" w:hAnsi="Aptos"/>
          <w:b/>
          <w:i w:val="0"/>
          <w:color w:val="173B2A"/>
          <w:sz w:val="21"/>
        </w:rPr>
        <w:t xml:space="preserve">POC development — </w:t>
      </w:r>
      <w:r>
        <w:rPr>
          <w:rFonts w:ascii="Aptos" w:hAnsi="Aptos"/>
          <w:b w:val="0"/>
          <w:i w:val="0"/>
          <w:color w:val="1D2621"/>
          <w:sz w:val="21"/>
        </w:rPr>
        <w:t>Complete the inventory, movement, reporting, export and administration workflows.</w:t>
      </w:r>
    </w:p>
    <w:p>
      <w:pPr>
        <w:pStyle w:val="ListNumber"/>
        <w:keepLines/>
        <w:spacing w:after="120" w:line="290" w:lineRule="auto"/>
      </w:pPr>
      <w:r>
        <w:rPr>
          <w:rFonts w:ascii="Aptos" w:hAnsi="Aptos"/>
          <w:b/>
          <w:i w:val="0"/>
          <w:color w:val="173B2A"/>
          <w:sz w:val="21"/>
        </w:rPr>
        <w:t xml:space="preserve">Client review — </w:t>
      </w:r>
      <w:r>
        <w:rPr>
          <w:rFonts w:ascii="Aptos" w:hAnsi="Aptos"/>
          <w:b w:val="0"/>
          <w:i w:val="0"/>
          <w:color w:val="1D2621"/>
          <w:sz w:val="21"/>
        </w:rPr>
        <w:t>Demonstrate the solution to Nardia and nominated users using representative operational data.</w:t>
      </w:r>
    </w:p>
    <w:p>
      <w:pPr>
        <w:pStyle w:val="ListNumber"/>
        <w:keepLines/>
        <w:spacing w:after="120" w:line="290" w:lineRule="auto"/>
      </w:pPr>
      <w:r>
        <w:rPr>
          <w:rFonts w:ascii="Aptos" w:hAnsi="Aptos"/>
          <w:b/>
          <w:i w:val="0"/>
          <w:color w:val="173B2A"/>
          <w:sz w:val="21"/>
        </w:rPr>
        <w:t xml:space="preserve">Pilot and refinement — </w:t>
      </w:r>
      <w:r>
        <w:rPr>
          <w:rFonts w:ascii="Aptos" w:hAnsi="Aptos"/>
          <w:b w:val="0"/>
          <w:i w:val="0"/>
          <w:color w:val="1D2621"/>
          <w:sz w:val="21"/>
        </w:rPr>
        <w:t>Apply one consolidated correction round and prepare the approved POC for handover.</w:t>
      </w:r>
    </w:p>
    <w:p>
      <w:pPr>
        <w:pStyle w:val="Heading1"/>
        <w:keepNext/>
      </w:pPr>
      <w:r>
        <w:t>5. Indicative delivery period</w:t>
      </w:r>
    </w:p>
    <w:p>
      <w:pPr>
        <w:spacing w:before="0" w:after="160" w:line="320" w:lineRule="auto"/>
        <w:jc w:val="left"/>
      </w:pPr>
      <w:r>
        <w:rPr>
          <w:rFonts w:ascii="Aptos" w:hAnsi="Aptos"/>
          <w:b w:val="0"/>
          <w:i w:val="0"/>
          <w:color w:val="1D2621"/>
          <w:sz w:val="22"/>
        </w:rPr>
        <w:t>The proof of concept is expected to be delivered within 3–4 weeks from written acceptance, receipt of the commencement payment and timely access to the required inventory information. The delivery period may be adjusted where the agreed scope or source-data quality changes.</w:t>
      </w:r>
    </w:p>
    <w:p>
      <w:pPr>
        <w:pStyle w:val="Heading1"/>
        <w:keepNext/>
      </w:pPr>
      <w:r>
        <w:t>6. Commercial proposal</w:t>
      </w:r>
    </w:p>
    <w:tbl>
      <w:tblPr>
        <w:tblStyle w:val="TableGrid"/>
        <w:tblW w:type="dxa" w:w="9120"/>
        <w:jc w:val="center"/>
        <w:tblLayout w:type="fixed"/>
        <w:tblLook w:firstColumn="1" w:firstRow="1" w:lastColumn="0" w:lastRow="0" w:noHBand="0" w:noVBand="1" w:val="04A0"/>
      </w:tblPr>
      <w:tblGrid>
        <w:gridCol w:w="4700"/>
        <w:gridCol w:w="1900"/>
        <w:gridCol w:w="2520"/>
      </w:tblGrid>
      <w:tr>
        <w:tc>
          <w:tcPr>
            <w:tcW w:type="dxa" w:w="4700"/>
            <w:tcMar>
              <w:top w:w="120" w:type="dxa"/>
              <w:start w:w="160" w:type="dxa"/>
              <w:bottom w:w="120" w:type="dxa"/>
              <w:end w:w="160" w:type="dxa"/>
            </w:tcMar>
            <w:vAlign w:val="center"/>
            <w:shd w:fill="173B2A"/>
          </w:tcPr>
          <w:p>
            <w:pPr>
              <w:jc w:val="left"/>
            </w:pPr>
            <w:r>
              <w:rPr>
                <w:rFonts w:ascii="Aptos" w:hAnsi="Aptos"/>
                <w:b/>
                <w:i w:val="0"/>
                <w:color w:val="FFFFFF"/>
                <w:sz w:val="20"/>
              </w:rPr>
              <w:t>Item</w:t>
            </w:r>
          </w:p>
        </w:tc>
        <w:tc>
          <w:tcPr>
            <w:tcW w:type="dxa" w:w="1900"/>
            <w:tcMar>
              <w:top w:w="120" w:type="dxa"/>
              <w:start w:w="160" w:type="dxa"/>
              <w:bottom w:w="120" w:type="dxa"/>
              <w:end w:w="160" w:type="dxa"/>
            </w:tcMar>
            <w:vAlign w:val="center"/>
            <w:shd w:fill="173B2A"/>
          </w:tcPr>
          <w:p>
            <w:pPr>
              <w:jc w:val="center"/>
            </w:pPr>
            <w:r>
              <w:rPr>
                <w:rFonts w:ascii="Aptos" w:hAnsi="Aptos"/>
                <w:b/>
                <w:i w:val="0"/>
                <w:color w:val="FFFFFF"/>
                <w:sz w:val="20"/>
              </w:rPr>
              <w:t>Frequency</w:t>
            </w:r>
          </w:p>
        </w:tc>
        <w:tc>
          <w:tcPr>
            <w:tcW w:type="dxa" w:w="2520"/>
            <w:tcMar>
              <w:top w:w="120" w:type="dxa"/>
              <w:start w:w="160" w:type="dxa"/>
              <w:bottom w:w="120" w:type="dxa"/>
              <w:end w:w="160" w:type="dxa"/>
            </w:tcMar>
            <w:vAlign w:val="center"/>
            <w:shd w:fill="173B2A"/>
          </w:tcPr>
          <w:p>
            <w:pPr>
              <w:jc w:val="center"/>
            </w:pPr>
            <w:r>
              <w:rPr>
                <w:rFonts w:ascii="Aptos" w:hAnsi="Aptos"/>
                <w:b/>
                <w:i w:val="0"/>
                <w:color w:val="FFFFFF"/>
                <w:sz w:val="20"/>
              </w:rPr>
              <w:t>Fee (USD)</w:t>
            </w:r>
          </w:p>
        </w:tc>
      </w:tr>
      <w:tr>
        <w:tc>
          <w:tcPr>
            <w:tcW w:type="dxa" w:w="4700"/>
            <w:tcMar>
              <w:top w:w="120" w:type="dxa"/>
              <w:start w:w="160" w:type="dxa"/>
              <w:bottom w:w="120" w:type="dxa"/>
              <w:end w:w="160" w:type="dxa"/>
            </w:tcMar>
            <w:vAlign w:val="center"/>
          </w:tcPr>
          <w:p>
            <w:pPr>
              <w:jc w:val="left"/>
            </w:pPr>
            <w:r>
              <w:rPr>
                <w:rFonts w:ascii="Aptos" w:hAnsi="Aptos"/>
                <w:b w:val="0"/>
                <w:i w:val="0"/>
                <w:color w:val="1D2621"/>
                <w:sz w:val="21"/>
              </w:rPr>
              <w:t>System development and proof of concept</w:t>
            </w:r>
          </w:p>
        </w:tc>
        <w:tc>
          <w:tcPr>
            <w:tcW w:type="dxa" w:w="1900"/>
            <w:tcMar>
              <w:top w:w="120" w:type="dxa"/>
              <w:start w:w="160" w:type="dxa"/>
              <w:bottom w:w="120" w:type="dxa"/>
              <w:end w:w="160" w:type="dxa"/>
            </w:tcMar>
            <w:vAlign w:val="center"/>
          </w:tcPr>
          <w:p>
            <w:pPr>
              <w:jc w:val="center"/>
            </w:pPr>
            <w:r>
              <w:rPr>
                <w:rFonts w:ascii="Aptos" w:hAnsi="Aptos"/>
                <w:b w:val="0"/>
                <w:i w:val="0"/>
                <w:color w:val="1D2621"/>
                <w:sz w:val="21"/>
              </w:rPr>
              <w:t>Once-off</w:t>
            </w:r>
          </w:p>
        </w:tc>
        <w:tc>
          <w:tcPr>
            <w:tcW w:type="dxa" w:w="2520"/>
            <w:tcMar>
              <w:top w:w="120" w:type="dxa"/>
              <w:start w:w="160" w:type="dxa"/>
              <w:bottom w:w="120" w:type="dxa"/>
              <w:end w:w="160" w:type="dxa"/>
            </w:tcMar>
            <w:vAlign w:val="center"/>
          </w:tcPr>
          <w:p>
            <w:pPr>
              <w:jc w:val="center"/>
            </w:pPr>
            <w:r>
              <w:rPr>
                <w:rFonts w:ascii="Aptos" w:hAnsi="Aptos"/>
                <w:b w:val="0"/>
                <w:i w:val="0"/>
                <w:color w:val="1D2621"/>
                <w:sz w:val="21"/>
              </w:rPr>
              <w:t>$1,200</w:t>
            </w:r>
          </w:p>
        </w:tc>
      </w:tr>
      <w:tr>
        <w:tc>
          <w:tcPr>
            <w:tcW w:type="dxa" w:w="4700"/>
            <w:tcMar>
              <w:top w:w="120" w:type="dxa"/>
              <w:start w:w="160" w:type="dxa"/>
              <w:bottom w:w="120" w:type="dxa"/>
              <w:end w:w="160" w:type="dxa"/>
            </w:tcMar>
            <w:vAlign w:val="center"/>
          </w:tcPr>
          <w:p>
            <w:pPr>
              <w:jc w:val="left"/>
            </w:pPr>
            <w:r>
              <w:rPr>
                <w:rFonts w:ascii="Aptos" w:hAnsi="Aptos"/>
                <w:b w:val="0"/>
                <w:i w:val="0"/>
                <w:color w:val="1D2621"/>
                <w:sz w:val="21"/>
              </w:rPr>
              <w:t>Software licence</w:t>
            </w:r>
          </w:p>
        </w:tc>
        <w:tc>
          <w:tcPr>
            <w:tcW w:type="dxa" w:w="1900"/>
            <w:tcMar>
              <w:top w:w="120" w:type="dxa"/>
              <w:start w:w="160" w:type="dxa"/>
              <w:bottom w:w="120" w:type="dxa"/>
              <w:end w:w="160" w:type="dxa"/>
            </w:tcMar>
            <w:vAlign w:val="center"/>
          </w:tcPr>
          <w:p>
            <w:pPr>
              <w:jc w:val="center"/>
            </w:pPr>
            <w:r>
              <w:rPr>
                <w:rFonts w:ascii="Aptos" w:hAnsi="Aptos"/>
                <w:b w:val="0"/>
                <w:i w:val="0"/>
                <w:color w:val="1D2621"/>
                <w:sz w:val="21"/>
              </w:rPr>
              <w:t>Monthly</w:t>
            </w:r>
          </w:p>
        </w:tc>
        <w:tc>
          <w:tcPr>
            <w:tcW w:type="dxa" w:w="2520"/>
            <w:tcMar>
              <w:top w:w="120" w:type="dxa"/>
              <w:start w:w="160" w:type="dxa"/>
              <w:bottom w:w="120" w:type="dxa"/>
              <w:end w:w="160" w:type="dxa"/>
            </w:tcMar>
            <w:vAlign w:val="center"/>
          </w:tcPr>
          <w:p>
            <w:pPr>
              <w:jc w:val="center"/>
            </w:pPr>
            <w:r>
              <w:rPr>
                <w:rFonts w:ascii="Aptos" w:hAnsi="Aptos"/>
                <w:b w:val="0"/>
                <w:i w:val="0"/>
                <w:color w:val="1D2621"/>
                <w:sz w:val="21"/>
              </w:rPr>
              <w:t>$50</w:t>
            </w:r>
          </w:p>
        </w:tc>
      </w:tr>
      <w:tr>
        <w:tc>
          <w:tcPr>
            <w:tcW w:type="dxa" w:w="4700"/>
            <w:tcMar>
              <w:top w:w="120" w:type="dxa"/>
              <w:start w:w="160" w:type="dxa"/>
              <w:bottom w:w="120" w:type="dxa"/>
              <w:end w:w="160" w:type="dxa"/>
            </w:tcMar>
            <w:vAlign w:val="center"/>
            <w:shd w:fill="FBF6E8"/>
          </w:tcPr>
          <w:p>
            <w:pPr>
              <w:jc w:val="left"/>
            </w:pPr>
            <w:r>
              <w:rPr>
                <w:rFonts w:ascii="Aptos" w:hAnsi="Aptos"/>
                <w:b/>
                <w:i w:val="0"/>
                <w:color w:val="173B2A"/>
                <w:sz w:val="21"/>
              </w:rPr>
              <w:t>Total payable in the first month</w:t>
            </w:r>
          </w:p>
        </w:tc>
        <w:tc>
          <w:tcPr>
            <w:tcW w:type="dxa" w:w="1900"/>
            <w:tcMar>
              <w:top w:w="120" w:type="dxa"/>
              <w:start w:w="160" w:type="dxa"/>
              <w:bottom w:w="120" w:type="dxa"/>
              <w:end w:w="160" w:type="dxa"/>
            </w:tcMar>
            <w:vAlign w:val="center"/>
            <w:shd w:fill="FBF6E8"/>
          </w:tcPr>
          <w:p>
            <w:pPr>
              <w:jc w:val="center"/>
            </w:pPr>
            <w:r>
              <w:rPr>
                <w:rFonts w:ascii="Aptos" w:hAnsi="Aptos"/>
                <w:b/>
                <w:i w:val="0"/>
                <w:color w:val="173B2A"/>
                <w:sz w:val="21"/>
              </w:rPr>
              <w:t>Initial</w:t>
            </w:r>
          </w:p>
        </w:tc>
        <w:tc>
          <w:tcPr>
            <w:tcW w:type="dxa" w:w="2520"/>
            <w:tcMar>
              <w:top w:w="120" w:type="dxa"/>
              <w:start w:w="160" w:type="dxa"/>
              <w:bottom w:w="120" w:type="dxa"/>
              <w:end w:w="160" w:type="dxa"/>
            </w:tcMar>
            <w:vAlign w:val="center"/>
            <w:shd w:fill="FBF6E8"/>
          </w:tcPr>
          <w:p>
            <w:pPr>
              <w:jc w:val="center"/>
            </w:pPr>
            <w:r>
              <w:rPr>
                <w:rFonts w:ascii="Aptos" w:hAnsi="Aptos"/>
                <w:b/>
                <w:i w:val="0"/>
                <w:color w:val="173B2A"/>
                <w:sz w:val="21"/>
              </w:rPr>
              <w:t>$1,250</w:t>
            </w:r>
          </w:p>
        </w:tc>
      </w:tr>
    </w:tbl>
    <w:p>
      <w:pPr>
        <w:pStyle w:val="Heading1"/>
        <w:keepNext/>
      </w:pPr>
      <w:r>
        <w:t>7. Payment and licensing terms</w:t>
      </w:r>
    </w:p>
    <w:p>
      <w:pPr>
        <w:pStyle w:val="ListBullet"/>
        <w:keepLines/>
        <w:spacing w:after="80" w:line="290" w:lineRule="auto"/>
      </w:pPr>
      <w:r>
        <w:rPr>
          <w:rFonts w:ascii="Aptos" w:hAnsi="Aptos"/>
          <w:b w:val="0"/>
          <w:i w:val="0"/>
          <w:color w:val="1D2621"/>
          <w:sz w:val="21"/>
        </w:rPr>
        <w:t>Development fee: 50% (USD $600) on acceptance and 50% (USD $600) on POC delivery.</w:t>
      </w:r>
    </w:p>
    <w:p>
      <w:pPr>
        <w:pStyle w:val="ListBullet"/>
        <w:keepLines/>
        <w:spacing w:after="80" w:line="290" w:lineRule="auto"/>
      </w:pPr>
      <w:r>
        <w:rPr>
          <w:rFonts w:ascii="Aptos" w:hAnsi="Aptos"/>
          <w:b w:val="0"/>
          <w:i w:val="0"/>
          <w:color w:val="1D2621"/>
          <w:sz w:val="21"/>
        </w:rPr>
        <w:t>The USD $50 monthly software licence begins when the POC is accepted for operational use.</w:t>
      </w:r>
    </w:p>
    <w:p>
      <w:pPr>
        <w:pStyle w:val="ListBullet"/>
        <w:keepLines/>
        <w:spacing w:after="80" w:line="290" w:lineRule="auto"/>
      </w:pPr>
      <w:r>
        <w:rPr>
          <w:rFonts w:ascii="Aptos" w:hAnsi="Aptos"/>
          <w:b w:val="0"/>
          <w:i w:val="0"/>
          <w:color w:val="1D2621"/>
          <w:sz w:val="21"/>
        </w:rPr>
        <w:t>The monthly licence provides continued authorised use of the system and routine software maintenance.</w:t>
      </w:r>
    </w:p>
    <w:p>
      <w:pPr>
        <w:pStyle w:val="ListBullet"/>
        <w:keepLines/>
        <w:spacing w:after="80" w:line="290" w:lineRule="auto"/>
      </w:pPr>
      <w:r>
        <w:rPr>
          <w:rFonts w:ascii="Aptos" w:hAnsi="Aptos"/>
          <w:b w:val="0"/>
          <w:i w:val="0"/>
          <w:color w:val="1D2621"/>
          <w:sz w:val="21"/>
        </w:rPr>
        <w:t>Material new modules, third-party integrations, historic data cleaning, devices and specialised infrastructure are outside this proposal and will be quoted separately.</w:t>
      </w:r>
    </w:p>
    <w:p>
      <w:pPr>
        <w:pStyle w:val="ListBullet"/>
        <w:keepLines/>
        <w:spacing w:after="80" w:line="290" w:lineRule="auto"/>
      </w:pPr>
      <w:r>
        <w:rPr>
          <w:rFonts w:ascii="Aptos" w:hAnsi="Aptos"/>
          <w:b w:val="0"/>
          <w:i w:val="0"/>
          <w:color w:val="1D2621"/>
          <w:sz w:val="21"/>
        </w:rPr>
        <w:t>All fees are stated in United States dollars and exclude any applicable taxes or transaction charges.</w:t>
      </w:r>
    </w:p>
    <w:p>
      <w:r>
        <w:br w:type="page"/>
      </w:r>
    </w:p>
    <w:p>
      <w:pPr>
        <w:pStyle w:val="Heading1"/>
        <w:keepNext/>
      </w:pPr>
      <w:r>
        <w:t>8. Client responsibilities</w:t>
      </w:r>
    </w:p>
    <w:p>
      <w:pPr>
        <w:pStyle w:val="ListBullet"/>
        <w:keepLines/>
        <w:spacing w:after="80" w:line="290" w:lineRule="auto"/>
      </w:pPr>
      <w:r>
        <w:rPr>
          <w:rFonts w:ascii="Aptos" w:hAnsi="Aptos"/>
          <w:b w:val="0"/>
          <w:i w:val="0"/>
          <w:color w:val="1D2621"/>
          <w:sz w:val="21"/>
        </w:rPr>
        <w:t>Provide representative item, location and opening-stock information.</w:t>
      </w:r>
    </w:p>
    <w:p>
      <w:pPr>
        <w:pStyle w:val="ListBullet"/>
        <w:keepLines/>
        <w:spacing w:after="80" w:line="290" w:lineRule="auto"/>
      </w:pPr>
      <w:r>
        <w:rPr>
          <w:rFonts w:ascii="Aptos" w:hAnsi="Aptos"/>
          <w:b w:val="0"/>
          <w:i w:val="0"/>
          <w:color w:val="1D2621"/>
          <w:sz w:val="21"/>
        </w:rPr>
        <w:t>Nominate users for workflow confirmation and pilot testing.</w:t>
      </w:r>
    </w:p>
    <w:p>
      <w:pPr>
        <w:pStyle w:val="ListBullet"/>
        <w:keepLines/>
        <w:spacing w:after="80" w:line="290" w:lineRule="auto"/>
      </w:pPr>
      <w:r>
        <w:rPr>
          <w:rFonts w:ascii="Aptos" w:hAnsi="Aptos"/>
          <w:b w:val="0"/>
          <w:i w:val="0"/>
          <w:color w:val="1D2621"/>
          <w:sz w:val="21"/>
        </w:rPr>
        <w:t>Review deliverables and provide consolidated feedback within agreed timelines.</w:t>
      </w:r>
    </w:p>
    <w:p>
      <w:pPr>
        <w:pStyle w:val="ListBullet"/>
        <w:keepLines/>
        <w:spacing w:after="80" w:line="290" w:lineRule="auto"/>
      </w:pPr>
      <w:r>
        <w:rPr>
          <w:rFonts w:ascii="Aptos" w:hAnsi="Aptos"/>
          <w:b w:val="0"/>
          <w:i w:val="0"/>
          <w:color w:val="1D2621"/>
          <w:sz w:val="21"/>
        </w:rPr>
        <w:t>Confirm the final operating procedures, permissions and report requirements.</w:t>
      </w:r>
    </w:p>
    <w:p>
      <w:pPr>
        <w:pStyle w:val="Heading1"/>
        <w:keepNext/>
      </w:pPr>
      <w:r>
        <w:t>9. Acceptance criteria</w:t>
      </w:r>
    </w:p>
    <w:p>
      <w:pPr>
        <w:spacing w:before="0" w:after="160" w:line="320" w:lineRule="auto"/>
        <w:jc w:val="left"/>
      </w:pPr>
      <w:r>
        <w:rPr>
          <w:rFonts w:ascii="Aptos" w:hAnsi="Aptos"/>
          <w:b w:val="0"/>
          <w:i w:val="0"/>
          <w:color w:val="1D2621"/>
          <w:sz w:val="22"/>
        </w:rPr>
        <w:t>The proof of concept will be considered delivered when it can demonstrate:</w:t>
      </w:r>
    </w:p>
    <w:p>
      <w:pPr>
        <w:pStyle w:val="ListBullet"/>
        <w:keepLines/>
        <w:spacing w:after="80" w:line="290" w:lineRule="auto"/>
      </w:pPr>
      <w:r>
        <w:rPr>
          <w:rFonts w:ascii="Aptos" w:hAnsi="Aptos"/>
          <w:b w:val="0"/>
          <w:i w:val="0"/>
          <w:color w:val="1D2621"/>
          <w:sz w:val="21"/>
        </w:rPr>
        <w:t>Stock visibility across all three named locations.</w:t>
      </w:r>
    </w:p>
    <w:p>
      <w:pPr>
        <w:pStyle w:val="ListBullet"/>
        <w:keepLines/>
        <w:spacing w:after="80" w:line="290" w:lineRule="auto"/>
      </w:pPr>
      <w:r>
        <w:rPr>
          <w:rFonts w:ascii="Aptos" w:hAnsi="Aptos"/>
          <w:b w:val="0"/>
          <w:i w:val="0"/>
          <w:color w:val="1D2621"/>
          <w:sz w:val="21"/>
        </w:rPr>
        <w:t>Receiving, issuing and transfer transactions with correct balance updates.</w:t>
      </w:r>
    </w:p>
    <w:p>
      <w:pPr>
        <w:pStyle w:val="ListBullet"/>
        <w:keepLines/>
        <w:spacing w:after="80" w:line="290" w:lineRule="auto"/>
      </w:pPr>
      <w:r>
        <w:rPr>
          <w:rFonts w:ascii="Aptos" w:hAnsi="Aptos"/>
          <w:b w:val="0"/>
          <w:i w:val="0"/>
          <w:color w:val="1D2621"/>
          <w:sz w:val="21"/>
        </w:rPr>
        <w:t>Low-stock identification based on configured thresholds.</w:t>
      </w:r>
    </w:p>
    <w:p>
      <w:pPr>
        <w:pStyle w:val="ListBullet"/>
        <w:keepLines/>
        <w:spacing w:after="80" w:line="290" w:lineRule="auto"/>
      </w:pPr>
      <w:r>
        <w:rPr>
          <w:rFonts w:ascii="Aptos" w:hAnsi="Aptos"/>
          <w:b w:val="0"/>
          <w:i w:val="0"/>
          <w:color w:val="1D2621"/>
          <w:sz w:val="21"/>
        </w:rPr>
        <w:t>Searchable inventory and movement-history views.</w:t>
      </w:r>
    </w:p>
    <w:p>
      <w:pPr>
        <w:pStyle w:val="ListBullet"/>
        <w:keepLines/>
        <w:spacing w:after="80" w:line="290" w:lineRule="auto"/>
      </w:pPr>
      <w:r>
        <w:rPr>
          <w:rFonts w:ascii="Aptos" w:hAnsi="Aptos"/>
          <w:b w:val="0"/>
          <w:i w:val="0"/>
          <w:color w:val="1D2621"/>
          <w:sz w:val="21"/>
        </w:rPr>
        <w:t>Downloadable inventory and movement reports.</w:t>
      </w:r>
    </w:p>
    <w:p>
      <w:pPr>
        <w:pStyle w:val="ListBullet"/>
        <w:keepLines/>
        <w:spacing w:after="80" w:line="290" w:lineRule="auto"/>
      </w:pPr>
      <w:r>
        <w:rPr>
          <w:rFonts w:ascii="Aptos" w:hAnsi="Aptos"/>
          <w:b w:val="0"/>
          <w:i w:val="0"/>
          <w:color w:val="1D2621"/>
          <w:sz w:val="21"/>
        </w:rPr>
        <w:t>Successful review with Nardia or a nominated representative.</w:t>
      </w:r>
    </w:p>
    <w:p>
      <w:pPr>
        <w:pStyle w:val="Heading1"/>
        <w:keepNext/>
      </w:pPr>
      <w:r>
        <w:t>10. Acceptance</w:t>
      </w:r>
    </w:p>
    <w:p>
      <w:pPr>
        <w:spacing w:before="0" w:after="160" w:line="320" w:lineRule="auto"/>
        <w:jc w:val="left"/>
      </w:pPr>
      <w:r>
        <w:rPr>
          <w:rFonts w:ascii="Aptos" w:hAnsi="Aptos"/>
          <w:b w:val="0"/>
          <w:i w:val="0"/>
          <w:color w:val="1D2621"/>
          <w:sz w:val="22"/>
        </w:rPr>
        <w:t>By signing below, the client confirms acceptance of the proposed scope, fees and delivery approach, subject to the terms in this document.</w:t>
      </w:r>
    </w:p>
    <w:tbl>
      <w:tblPr>
        <w:tblW w:type="dxa" w:w="9120"/>
        <w:jc w:val="center"/>
        <w:tblLayout w:type="fixed"/>
        <w:tblLook w:firstColumn="1" w:firstRow="1" w:lastColumn="0" w:lastRow="0" w:noHBand="0" w:noVBand="1" w:val="04A0"/>
        <w:tblBorders>
          <w:top w:val="nil"/>
          <w:left w:val="nil"/>
          <w:bottom w:val="nil"/>
          <w:right w:val="nil"/>
          <w:insideH w:val="nil"/>
          <w:insideV w:val="nil"/>
        </w:tblBorders>
      </w:tblPr>
      <w:tblGrid>
        <w:gridCol w:w="4560"/>
        <w:gridCol w:w="4560"/>
      </w:tblGrid>
      <w:tr>
        <w:tc>
          <w:tcPr>
            <w:tcW w:type="dxa" w:w="4560"/>
            <w:tcMar>
              <w:top w:w="120" w:type="dxa"/>
              <w:start w:w="160" w:type="dxa"/>
              <w:bottom w:w="120" w:type="dxa"/>
              <w:end w:w="160" w:type="dxa"/>
            </w:tcMar>
            <w:vAlign w:val="center"/>
          </w:tcPr>
          <w:p>
            <w:pPr>
              <w:spacing w:after="280"/>
            </w:pPr>
            <w:r>
              <w:rPr>
                <w:rFonts w:ascii="Aptos" w:hAnsi="Aptos"/>
                <w:b/>
                <w:i w:val="0"/>
                <w:color w:val="173B2A"/>
                <w:sz w:val="21"/>
              </w:rPr>
              <w:t>For the client</w:t>
            </w:r>
          </w:p>
        </w:tc>
        <w:tc>
          <w:tcPr>
            <w:tcW w:type="dxa" w:w="4560"/>
            <w:tcMar>
              <w:top w:w="120" w:type="dxa"/>
              <w:start w:w="160" w:type="dxa"/>
              <w:bottom w:w="120" w:type="dxa"/>
              <w:end w:w="160" w:type="dxa"/>
            </w:tcMar>
            <w:vAlign w:val="center"/>
          </w:tcPr>
          <w:p>
            <w:pPr>
              <w:spacing w:after="280"/>
            </w:pPr>
            <w:r>
              <w:rPr>
                <w:rFonts w:ascii="Aptos" w:hAnsi="Aptos"/>
                <w:b/>
                <w:i w:val="0"/>
                <w:color w:val="173B2A"/>
                <w:sz w:val="21"/>
              </w:rPr>
              <w:t>For Infinity Cloud Systems</w:t>
            </w:r>
          </w:p>
        </w:tc>
      </w:tr>
      <w:tr>
        <w:tc>
          <w:tcPr>
            <w:tcW w:type="dxa" w:w="4560"/>
            <w:tcMar>
              <w:top w:w="120" w:type="dxa"/>
              <w:start w:w="160" w:type="dxa"/>
              <w:bottom w:w="120" w:type="dxa"/>
              <w:end w:w="160" w:type="dxa"/>
            </w:tcMar>
            <w:vAlign w:val="center"/>
          </w:tcPr>
          <w:p>
            <w:pPr>
              <w:spacing w:after="180"/>
            </w:pPr>
            <w:r>
              <w:rPr>
                <w:rFonts w:ascii="Aptos" w:hAnsi="Aptos"/>
                <w:b w:val="0"/>
                <w:i w:val="0"/>
                <w:color w:val="1D2621"/>
                <w:sz w:val="21"/>
              </w:rPr>
              <w:t>Name: __________________________</w:t>
            </w:r>
          </w:p>
        </w:tc>
        <w:tc>
          <w:tcPr>
            <w:tcW w:type="dxa" w:w="4560"/>
            <w:tcMar>
              <w:top w:w="120" w:type="dxa"/>
              <w:start w:w="160" w:type="dxa"/>
              <w:bottom w:w="120" w:type="dxa"/>
              <w:end w:w="160" w:type="dxa"/>
            </w:tcMar>
            <w:vAlign w:val="center"/>
          </w:tcPr>
          <w:p>
            <w:pPr>
              <w:spacing w:after="180"/>
            </w:pPr>
            <w:r>
              <w:rPr>
                <w:rFonts w:ascii="Aptos" w:hAnsi="Aptos"/>
                <w:b w:val="0"/>
                <w:i w:val="0"/>
                <w:color w:val="1D2621"/>
                <w:sz w:val="21"/>
              </w:rPr>
              <w:t>Name: Tafadzwa Dhliwayo</w:t>
            </w:r>
          </w:p>
        </w:tc>
      </w:tr>
      <w:tr>
        <w:tc>
          <w:tcPr>
            <w:tcW w:type="dxa" w:w="4560"/>
            <w:tcMar>
              <w:top w:w="120" w:type="dxa"/>
              <w:start w:w="160" w:type="dxa"/>
              <w:bottom w:w="120" w:type="dxa"/>
              <w:end w:w="160" w:type="dxa"/>
            </w:tcMar>
            <w:vAlign w:val="center"/>
          </w:tcPr>
          <w:p>
            <w:pPr>
              <w:spacing w:after="180"/>
            </w:pPr>
            <w:r>
              <w:rPr>
                <w:rFonts w:ascii="Aptos" w:hAnsi="Aptos"/>
                <w:b w:val="0"/>
                <w:i w:val="0"/>
                <w:color w:val="1D2621"/>
                <w:sz w:val="21"/>
              </w:rPr>
              <w:t>Signature: ______________________</w:t>
            </w:r>
          </w:p>
        </w:tc>
        <w:tc>
          <w:tcPr>
            <w:tcW w:type="dxa" w:w="4560"/>
            <w:tcMar>
              <w:top w:w="120" w:type="dxa"/>
              <w:start w:w="160" w:type="dxa"/>
              <w:bottom w:w="120" w:type="dxa"/>
              <w:end w:w="160" w:type="dxa"/>
            </w:tcMar>
            <w:vAlign w:val="center"/>
          </w:tcPr>
          <w:p>
            <w:pPr>
              <w:spacing w:after="180"/>
            </w:pPr>
            <w:r>
              <w:rPr>
                <w:rFonts w:ascii="Aptos" w:hAnsi="Aptos"/>
                <w:b w:val="0"/>
                <w:i w:val="0"/>
                <w:color w:val="1D2621"/>
                <w:sz w:val="21"/>
              </w:rPr>
              <w:t>Signature: ______________________</w:t>
            </w:r>
          </w:p>
        </w:tc>
      </w:tr>
      <w:tr>
        <w:tc>
          <w:tcPr>
            <w:tcW w:type="dxa" w:w="4560"/>
            <w:tcMar>
              <w:top w:w="120" w:type="dxa"/>
              <w:start w:w="160" w:type="dxa"/>
              <w:bottom w:w="120" w:type="dxa"/>
              <w:end w:w="160" w:type="dxa"/>
            </w:tcMar>
            <w:vAlign w:val="center"/>
          </w:tcPr>
          <w:p>
            <w:pPr>
              <w:spacing w:after="180"/>
            </w:pPr>
            <w:r>
              <w:rPr>
                <w:rFonts w:ascii="Aptos" w:hAnsi="Aptos"/>
                <w:b w:val="0"/>
                <w:i w:val="0"/>
                <w:color w:val="1D2621"/>
                <w:sz w:val="21"/>
              </w:rPr>
              <w:t>Date: ___________________________</w:t>
            </w:r>
          </w:p>
        </w:tc>
        <w:tc>
          <w:tcPr>
            <w:tcW w:type="dxa" w:w="4560"/>
            <w:tcMar>
              <w:top w:w="120" w:type="dxa"/>
              <w:start w:w="160" w:type="dxa"/>
              <w:bottom w:w="120" w:type="dxa"/>
              <w:end w:w="160" w:type="dxa"/>
            </w:tcMar>
            <w:vAlign w:val="center"/>
          </w:tcPr>
          <w:p>
            <w:pPr>
              <w:spacing w:after="180"/>
            </w:pPr>
            <w:r>
              <w:rPr>
                <w:rFonts w:ascii="Aptos" w:hAnsi="Aptos"/>
                <w:b w:val="0"/>
                <w:i w:val="0"/>
                <w:color w:val="1D2621"/>
                <w:sz w:val="21"/>
              </w:rPr>
              <w:t>Date: ___________________________</w:t>
            </w:r>
          </w:p>
        </w:tc>
      </w:tr>
    </w:tbl>
    <w:p>
      <w:pPr>
        <w:spacing w:before="480" w:after="80" w:line="320" w:lineRule="auto"/>
        <w:jc w:val="center"/>
      </w:pPr>
      <w:r>
        <w:rPr>
          <w:rFonts w:ascii="Aptos" w:hAnsi="Aptos"/>
          <w:b/>
          <w:i w:val="0"/>
          <w:color w:val="173B2A"/>
          <w:sz w:val="26"/>
        </w:rPr>
        <w:t>Thank you for the opportunity to propose this solution.</w:t>
      </w:r>
    </w:p>
    <w:p>
      <w:pPr>
        <w:spacing w:before="0" w:after="0" w:line="320" w:lineRule="auto"/>
        <w:jc w:val="center"/>
      </w:pPr>
      <w:r>
        <w:rPr>
          <w:rFonts w:ascii="Aptos" w:hAnsi="Aptos"/>
          <w:b/>
          <w:i w:val="0"/>
          <w:color w:val="D8B55B"/>
          <w:sz w:val="21"/>
        </w:rPr>
        <w:t>Infinity Cloud Systems</w:t>
      </w:r>
    </w:p>
    <w:sectPr w:rsidR="00FC693F" w:rsidRPr="0006063C" w:rsidSect="00034616">
      <w:footerReference w:type="default" r:id="rId9"/>
      <w:pgSz w:w="12240" w:h="15840"/>
      <w:pgMar w:top="1123" w:right="1267" w:bottom="1037" w:left="1267" w:header="504"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Aptos" w:hAnsi="Aptos"/>
        <w:b w:val="0"/>
        <w:i w:val="0"/>
        <w:color w:val="68756D"/>
        <w:sz w:val="16"/>
      </w:rPr>
      <w:t>Infinity Cloud Systems  •  Inventory Management System Proposal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Aptos" w:hAnsi="Aptos"/>
      <w:color w:val="1D262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ptos Display" w:hAnsi="Aptos Display"/>
      <w:b/>
      <w:bCs/>
      <w:color w:val="173B2A"/>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4583E"/>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Display" w:hAnsi="Aptos Display"/>
      <w:b/>
      <w:bCs/>
      <w:color w:val="24583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18" w:hanging="259"/>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18" w:hanging="259"/>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Inventory Management System Proposal</dc:title>
  <dc:subject>Proposal prepared for Nardia</dc:subject>
  <dc:creator>Infinity Cloud Systems</dc:creator>
  <cp:keywords>inventory, proposal, proof of concept, licensing</cp:keywords>
  <dc:description>generated by python-docx</dc:description>
  <cp:lastModifiedBy/>
  <cp:revision>1</cp:revision>
  <dcterms:created xsi:type="dcterms:W3CDTF">2013-12-23T23:15:00Z</dcterms:created>
  <dcterms:modified xsi:type="dcterms:W3CDTF">2013-12-23T23:15:00Z</dcterms:modified>
  <cp:category/>
</cp:coreProperties>
</file>