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9D4B2" w14:textId="77777777" w:rsidR="000615D7" w:rsidRDefault="00EA4B5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0919DE8" w14:textId="77777777" w:rsidR="000615D7" w:rsidRDefault="000615D7">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615D7" w14:paraId="573549EF" w14:textId="77777777">
        <w:trPr>
          <w:trHeight w:val="680"/>
          <w:jc w:val="center"/>
        </w:trPr>
        <w:tc>
          <w:tcPr>
            <w:tcW w:w="2361" w:type="dxa"/>
            <w:vAlign w:val="center"/>
          </w:tcPr>
          <w:p w14:paraId="4D63C730" w14:textId="77777777" w:rsidR="000615D7" w:rsidRDefault="00EA4B5E">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07DD6A96" w14:textId="77777777" w:rsidR="000615D7" w:rsidRDefault="001E52B9">
            <w:pPr>
              <w:rPr>
                <w:rFonts w:ascii="宋体" w:eastAsia="宋体" w:hAnsi="宋体"/>
                <w:sz w:val="24"/>
              </w:rPr>
            </w:pPr>
            <w:r>
              <w:rPr>
                <w:rFonts w:ascii="宋体" w:eastAsia="宋体" w:hAnsi="宋体" w:hint="eastAsia"/>
                <w:sz w:val="24"/>
              </w:rPr>
              <w:t>61040602</w:t>
            </w:r>
          </w:p>
        </w:tc>
        <w:tc>
          <w:tcPr>
            <w:tcW w:w="1427" w:type="dxa"/>
            <w:gridSpan w:val="2"/>
            <w:vAlign w:val="center"/>
          </w:tcPr>
          <w:p w14:paraId="544EB06B" w14:textId="77777777" w:rsidR="000615D7" w:rsidRDefault="00EA4B5E">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69D2CDFD" w14:textId="77777777" w:rsidR="000615D7" w:rsidRDefault="00EA4B5E">
            <w:pPr>
              <w:rPr>
                <w:rFonts w:ascii="宋体" w:eastAsia="宋体" w:hAnsi="宋体"/>
                <w:sz w:val="24"/>
              </w:rPr>
            </w:pPr>
            <w:r>
              <w:rPr>
                <w:rFonts w:ascii="宋体" w:eastAsia="宋体" w:hAnsi="宋体" w:hint="eastAsia"/>
                <w:sz w:val="24"/>
              </w:rPr>
              <w:t>李倩</w:t>
            </w:r>
          </w:p>
        </w:tc>
      </w:tr>
      <w:tr w:rsidR="000615D7" w14:paraId="031040C1" w14:textId="77777777">
        <w:trPr>
          <w:trHeight w:val="680"/>
          <w:jc w:val="center"/>
        </w:trPr>
        <w:tc>
          <w:tcPr>
            <w:tcW w:w="2361" w:type="dxa"/>
            <w:vAlign w:val="center"/>
          </w:tcPr>
          <w:p w14:paraId="32624CA9" w14:textId="77777777" w:rsidR="000615D7" w:rsidRDefault="00EA4B5E">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023CC62" w14:textId="77777777" w:rsidR="000615D7" w:rsidRDefault="00EA4B5E">
            <w:pPr>
              <w:rPr>
                <w:rFonts w:ascii="宋体" w:eastAsia="宋体" w:hAnsi="宋体"/>
                <w:sz w:val="24"/>
              </w:rPr>
            </w:pPr>
            <w:r>
              <w:rPr>
                <w:rFonts w:ascii="宋体" w:eastAsia="宋体" w:hAnsi="宋体"/>
                <w:sz w:val="24"/>
              </w:rPr>
              <w:t>北京</w:t>
            </w:r>
          </w:p>
        </w:tc>
        <w:tc>
          <w:tcPr>
            <w:tcW w:w="1427" w:type="dxa"/>
            <w:gridSpan w:val="2"/>
            <w:vAlign w:val="center"/>
          </w:tcPr>
          <w:p w14:paraId="78648F09" w14:textId="77777777" w:rsidR="000615D7" w:rsidRDefault="00EA4B5E">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44D03864" w14:textId="77777777" w:rsidR="000615D7" w:rsidRDefault="00EA4B5E">
            <w:pPr>
              <w:rPr>
                <w:rFonts w:ascii="宋体" w:eastAsia="宋体" w:hAnsi="宋体"/>
                <w:sz w:val="24"/>
              </w:rPr>
            </w:pPr>
            <w:r>
              <w:rPr>
                <w:rFonts w:ascii="宋体" w:eastAsia="宋体" w:hAnsi="宋体" w:hint="eastAsia"/>
                <w:sz w:val="24"/>
              </w:rPr>
              <w:t>世界经济学</w:t>
            </w:r>
          </w:p>
        </w:tc>
      </w:tr>
      <w:tr w:rsidR="000615D7" w14:paraId="42FA140B" w14:textId="77777777">
        <w:trPr>
          <w:trHeight w:val="680"/>
          <w:jc w:val="center"/>
        </w:trPr>
        <w:tc>
          <w:tcPr>
            <w:tcW w:w="2361" w:type="dxa"/>
            <w:vAlign w:val="center"/>
          </w:tcPr>
          <w:p w14:paraId="2190D939" w14:textId="77777777" w:rsidR="000615D7" w:rsidRDefault="00EA4B5E">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4CEA2086" w14:textId="77777777" w:rsidR="000615D7" w:rsidRDefault="00EA4B5E">
            <w:pPr>
              <w:rPr>
                <w:rFonts w:ascii="宋体" w:eastAsia="宋体" w:hAnsi="宋体"/>
                <w:sz w:val="24"/>
              </w:rPr>
            </w:pPr>
            <w:r>
              <w:rPr>
                <w:rFonts w:ascii="宋体" w:eastAsia="宋体" w:hAnsi="宋体" w:hint="eastAsia"/>
                <w:sz w:val="24"/>
              </w:rPr>
              <w:t>13810483738</w:t>
            </w:r>
          </w:p>
        </w:tc>
        <w:tc>
          <w:tcPr>
            <w:tcW w:w="1427" w:type="dxa"/>
            <w:gridSpan w:val="2"/>
            <w:vAlign w:val="center"/>
          </w:tcPr>
          <w:p w14:paraId="4CEE83BB" w14:textId="77777777" w:rsidR="000615D7" w:rsidRDefault="00EA4B5E">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7540689C" w14:textId="77777777" w:rsidR="000615D7" w:rsidRDefault="00EA4B5E">
            <w:pPr>
              <w:rPr>
                <w:rFonts w:ascii="宋体" w:eastAsia="宋体" w:hAnsi="宋体"/>
                <w:sz w:val="24"/>
              </w:rPr>
            </w:pPr>
            <w:r>
              <w:rPr>
                <w:rFonts w:ascii="宋体" w:eastAsia="宋体" w:hAnsi="宋体" w:hint="eastAsia"/>
                <w:sz w:val="24"/>
              </w:rPr>
              <w:t>407108916@qq.com</w:t>
            </w:r>
          </w:p>
        </w:tc>
      </w:tr>
      <w:tr w:rsidR="000615D7" w14:paraId="24CC7BC3" w14:textId="77777777">
        <w:trPr>
          <w:trHeight w:val="680"/>
          <w:jc w:val="center"/>
        </w:trPr>
        <w:tc>
          <w:tcPr>
            <w:tcW w:w="2361" w:type="dxa"/>
            <w:vAlign w:val="center"/>
          </w:tcPr>
          <w:p w14:paraId="0EDFCF14" w14:textId="77777777" w:rsidR="000615D7" w:rsidRDefault="00EA4B5E">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B17E704" w14:textId="77777777" w:rsidR="000615D7" w:rsidRDefault="00EA4B5E">
            <w:pPr>
              <w:rPr>
                <w:rFonts w:ascii="宋体" w:eastAsia="宋体" w:hAnsi="宋体"/>
                <w:sz w:val="24"/>
              </w:rPr>
            </w:pPr>
            <w:r>
              <w:rPr>
                <w:rFonts w:ascii="宋体" w:eastAsia="宋体" w:hAnsi="宋体" w:hint="eastAsia"/>
                <w:sz w:val="24"/>
              </w:rPr>
              <w:t>北大化工大学</w:t>
            </w:r>
          </w:p>
        </w:tc>
        <w:tc>
          <w:tcPr>
            <w:tcW w:w="1427" w:type="dxa"/>
            <w:gridSpan w:val="2"/>
            <w:vAlign w:val="center"/>
          </w:tcPr>
          <w:p w14:paraId="1F065980" w14:textId="77777777" w:rsidR="000615D7" w:rsidRDefault="00EA4B5E">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51A43D32" w14:textId="77777777" w:rsidR="000615D7" w:rsidRDefault="00EA4B5E">
            <w:pPr>
              <w:rPr>
                <w:rFonts w:ascii="宋体" w:eastAsia="宋体" w:hAnsi="宋体"/>
                <w:sz w:val="24"/>
              </w:rPr>
            </w:pPr>
            <w:r>
              <w:rPr>
                <w:rFonts w:ascii="宋体" w:eastAsia="宋体" w:hAnsi="宋体" w:hint="eastAsia"/>
                <w:sz w:val="24"/>
              </w:rPr>
              <w:t>会计学</w:t>
            </w:r>
          </w:p>
        </w:tc>
      </w:tr>
      <w:tr w:rsidR="000615D7" w14:paraId="4123D37B" w14:textId="77777777">
        <w:trPr>
          <w:trHeight w:val="680"/>
          <w:jc w:val="center"/>
        </w:trPr>
        <w:tc>
          <w:tcPr>
            <w:tcW w:w="2361" w:type="dxa"/>
            <w:vAlign w:val="center"/>
          </w:tcPr>
          <w:p w14:paraId="53B49E16" w14:textId="77777777" w:rsidR="000615D7" w:rsidRDefault="00EA4B5E">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53219F50" w14:textId="77777777" w:rsidR="000615D7" w:rsidRDefault="00EA4B5E">
            <w:pPr>
              <w:rPr>
                <w:rFonts w:ascii="宋体" w:eastAsia="宋体" w:hAnsi="宋体"/>
                <w:sz w:val="24"/>
              </w:rPr>
            </w:pPr>
            <w:r>
              <w:rPr>
                <w:rFonts w:ascii="宋体" w:eastAsia="宋体" w:hAnsi="宋体" w:hint="eastAsia"/>
                <w:sz w:val="24"/>
              </w:rPr>
              <w:t>北大方正物产集团有限公司</w:t>
            </w:r>
          </w:p>
        </w:tc>
        <w:tc>
          <w:tcPr>
            <w:tcW w:w="1427" w:type="dxa"/>
            <w:gridSpan w:val="2"/>
            <w:vAlign w:val="center"/>
          </w:tcPr>
          <w:p w14:paraId="4BE99A6D" w14:textId="77777777" w:rsidR="000615D7" w:rsidRDefault="00EA4B5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5BD623AF" w14:textId="77777777" w:rsidR="000615D7" w:rsidRDefault="00EA4B5E">
            <w:pPr>
              <w:rPr>
                <w:rFonts w:ascii="宋体" w:eastAsia="宋体" w:hAnsi="宋体"/>
                <w:sz w:val="24"/>
              </w:rPr>
            </w:pPr>
            <w:r>
              <w:rPr>
                <w:rFonts w:ascii="宋体" w:eastAsia="宋体" w:hAnsi="宋体" w:hint="eastAsia"/>
                <w:sz w:val="24"/>
              </w:rPr>
              <w:t>财务管理部总监</w:t>
            </w:r>
          </w:p>
        </w:tc>
      </w:tr>
      <w:tr w:rsidR="000615D7" w14:paraId="2A85D0D2" w14:textId="77777777">
        <w:trPr>
          <w:trHeight w:val="3948"/>
          <w:jc w:val="center"/>
        </w:trPr>
        <w:tc>
          <w:tcPr>
            <w:tcW w:w="2361" w:type="dxa"/>
            <w:vAlign w:val="center"/>
          </w:tcPr>
          <w:p w14:paraId="1674E689" w14:textId="77777777" w:rsidR="000615D7" w:rsidRDefault="00EA4B5E">
            <w:pPr>
              <w:jc w:val="center"/>
              <w:rPr>
                <w:rFonts w:ascii="宋体" w:eastAsia="宋体" w:hAnsi="宋体"/>
                <w:sz w:val="24"/>
              </w:rPr>
            </w:pPr>
            <w:r>
              <w:rPr>
                <w:rFonts w:ascii="宋体" w:eastAsia="宋体" w:hAnsi="宋体" w:hint="eastAsia"/>
                <w:sz w:val="24"/>
              </w:rPr>
              <w:t>个人简介和</w:t>
            </w:r>
          </w:p>
          <w:p w14:paraId="1DBCC8E0" w14:textId="77777777" w:rsidR="000615D7" w:rsidRDefault="00EA4B5E">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6E72E834" w14:textId="77777777" w:rsidR="000615D7" w:rsidRDefault="00EA4B5E">
            <w:pPr>
              <w:rPr>
                <w:rFonts w:ascii="宋体" w:eastAsia="宋体" w:hAnsi="宋体"/>
                <w:sz w:val="24"/>
              </w:rPr>
            </w:pPr>
            <w:r>
              <w:rPr>
                <w:rFonts w:ascii="宋体" w:eastAsia="宋体" w:hAnsi="宋体" w:hint="eastAsia"/>
                <w:sz w:val="24"/>
              </w:rPr>
              <w:t xml:space="preserve">    </w:t>
            </w:r>
            <w:r>
              <w:rPr>
                <w:rFonts w:ascii="宋体" w:eastAsia="宋体" w:hAnsi="宋体"/>
                <w:sz w:val="24"/>
              </w:rPr>
              <w:t>本人</w:t>
            </w:r>
            <w:r>
              <w:rPr>
                <w:rFonts w:ascii="宋体" w:eastAsia="宋体" w:hAnsi="宋体" w:hint="eastAsia"/>
                <w:sz w:val="24"/>
              </w:rPr>
              <w:t>李倩</w:t>
            </w:r>
            <w:r>
              <w:rPr>
                <w:rFonts w:ascii="宋体" w:eastAsia="宋体" w:hAnsi="宋体"/>
                <w:sz w:val="24"/>
              </w:rPr>
              <w:t>，198</w:t>
            </w:r>
            <w:r>
              <w:rPr>
                <w:rFonts w:ascii="宋体" w:eastAsia="宋体" w:hAnsi="宋体" w:hint="eastAsia"/>
                <w:sz w:val="24"/>
              </w:rPr>
              <w:t>9 年</w:t>
            </w:r>
            <w:r>
              <w:rPr>
                <w:rFonts w:ascii="宋体" w:eastAsia="宋体" w:hAnsi="宋体"/>
                <w:sz w:val="24"/>
              </w:rPr>
              <w:t>出生，籍贯</w:t>
            </w:r>
            <w:r>
              <w:rPr>
                <w:rFonts w:ascii="宋体" w:eastAsia="宋体" w:hAnsi="宋体" w:hint="eastAsia"/>
                <w:sz w:val="24"/>
              </w:rPr>
              <w:t>辽宁省，2009</w:t>
            </w:r>
            <w:r>
              <w:rPr>
                <w:rFonts w:ascii="宋体" w:eastAsia="宋体" w:hAnsi="宋体"/>
                <w:sz w:val="24"/>
              </w:rPr>
              <w:t>-20</w:t>
            </w:r>
            <w:r>
              <w:rPr>
                <w:rFonts w:ascii="宋体" w:eastAsia="宋体" w:hAnsi="宋体" w:hint="eastAsia"/>
                <w:sz w:val="24"/>
              </w:rPr>
              <w:t>13</w:t>
            </w:r>
            <w:r>
              <w:rPr>
                <w:rFonts w:ascii="宋体" w:eastAsia="宋体" w:hAnsi="宋体"/>
                <w:sz w:val="24"/>
              </w:rPr>
              <w:t>年就读于</w:t>
            </w:r>
            <w:r>
              <w:rPr>
                <w:rFonts w:ascii="宋体" w:eastAsia="宋体" w:hAnsi="宋体" w:hint="eastAsia"/>
                <w:sz w:val="24"/>
              </w:rPr>
              <w:t>北京化工大学</w:t>
            </w:r>
            <w:r>
              <w:rPr>
                <w:rFonts w:ascii="宋体" w:eastAsia="宋体" w:hAnsi="宋体"/>
                <w:sz w:val="24"/>
              </w:rPr>
              <w:t>。</w:t>
            </w:r>
          </w:p>
          <w:p w14:paraId="494300E3" w14:textId="77777777" w:rsidR="000615D7" w:rsidRDefault="00EA4B5E" w:rsidP="00EA4B5E">
            <w:pPr>
              <w:rPr>
                <w:rFonts w:ascii="宋体" w:eastAsia="宋体" w:hAnsi="宋体"/>
                <w:sz w:val="24"/>
              </w:rPr>
            </w:pPr>
            <w:r>
              <w:rPr>
                <w:rFonts w:ascii="宋体" w:eastAsia="宋体" w:hAnsi="宋体" w:hint="eastAsia"/>
                <w:sz w:val="24"/>
              </w:rPr>
              <w:t xml:space="preserve">    </w:t>
            </w:r>
            <w:r>
              <w:rPr>
                <w:rFonts w:ascii="宋体" w:eastAsia="宋体" w:hAnsi="宋体"/>
                <w:sz w:val="24"/>
              </w:rPr>
              <w:t>20</w:t>
            </w:r>
            <w:r>
              <w:rPr>
                <w:rFonts w:ascii="宋体" w:eastAsia="宋体" w:hAnsi="宋体" w:hint="eastAsia"/>
                <w:sz w:val="24"/>
              </w:rPr>
              <w:t>13</w:t>
            </w:r>
            <w:r>
              <w:rPr>
                <w:rFonts w:ascii="宋体" w:eastAsia="宋体" w:hAnsi="宋体"/>
                <w:sz w:val="24"/>
              </w:rPr>
              <w:t>年</w:t>
            </w:r>
            <w:r>
              <w:rPr>
                <w:rFonts w:ascii="宋体" w:eastAsia="宋体" w:hAnsi="宋体" w:hint="eastAsia"/>
                <w:sz w:val="24"/>
              </w:rPr>
              <w:t>7</w:t>
            </w:r>
            <w:r>
              <w:rPr>
                <w:rFonts w:ascii="宋体" w:eastAsia="宋体" w:hAnsi="宋体"/>
                <w:sz w:val="24"/>
              </w:rPr>
              <w:t>月-201</w:t>
            </w:r>
            <w:r>
              <w:rPr>
                <w:rFonts w:ascii="宋体" w:eastAsia="宋体" w:hAnsi="宋体" w:hint="eastAsia"/>
                <w:sz w:val="24"/>
              </w:rPr>
              <w:t>8</w:t>
            </w:r>
            <w:r>
              <w:rPr>
                <w:rFonts w:ascii="宋体" w:eastAsia="宋体" w:hAnsi="宋体"/>
                <w:sz w:val="24"/>
              </w:rPr>
              <w:t>年</w:t>
            </w:r>
            <w:r>
              <w:rPr>
                <w:rFonts w:ascii="宋体" w:eastAsia="宋体" w:hAnsi="宋体" w:hint="eastAsia"/>
                <w:sz w:val="24"/>
              </w:rPr>
              <w:t>3</w:t>
            </w:r>
            <w:r>
              <w:rPr>
                <w:rFonts w:ascii="宋体" w:eastAsia="宋体" w:hAnsi="宋体"/>
                <w:sz w:val="24"/>
              </w:rPr>
              <w:t>月就职于</w:t>
            </w:r>
            <w:r>
              <w:rPr>
                <w:rFonts w:ascii="宋体" w:eastAsia="宋体" w:hAnsi="宋体" w:hint="eastAsia"/>
                <w:sz w:val="24"/>
              </w:rPr>
              <w:t>北大方正物产集团有限公司，任财务部主管，2018 年 4 月-2019 年 6月，就职于上海际丰投资管理有限责任公司，任财务管理部总经理，2019 年 7月至今，</w:t>
            </w:r>
            <w:r>
              <w:rPr>
                <w:rFonts w:ascii="宋体" w:eastAsia="宋体" w:hAnsi="宋体"/>
                <w:sz w:val="24"/>
              </w:rPr>
              <w:t>职于</w:t>
            </w:r>
            <w:r>
              <w:rPr>
                <w:rFonts w:ascii="宋体" w:eastAsia="宋体" w:hAnsi="宋体" w:hint="eastAsia"/>
                <w:sz w:val="24"/>
              </w:rPr>
              <w:t>北大方正物产集团有限公司，任财务部总监。</w:t>
            </w:r>
          </w:p>
        </w:tc>
      </w:tr>
      <w:tr w:rsidR="000615D7" w14:paraId="10E0B185" w14:textId="77777777">
        <w:trPr>
          <w:trHeight w:val="680"/>
          <w:jc w:val="center"/>
        </w:trPr>
        <w:tc>
          <w:tcPr>
            <w:tcW w:w="2361" w:type="dxa"/>
            <w:vAlign w:val="center"/>
          </w:tcPr>
          <w:p w14:paraId="6AA8BF49" w14:textId="77777777" w:rsidR="000615D7" w:rsidRDefault="00EA4B5E">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6BF39CB" w14:textId="77777777" w:rsidR="000615D7" w:rsidRDefault="00EA4B5E">
            <w:pPr>
              <w:jc w:val="center"/>
              <w:rPr>
                <w:rFonts w:ascii="宋体" w:eastAsia="宋体" w:hAnsi="宋体"/>
                <w:sz w:val="24"/>
              </w:rPr>
            </w:pPr>
            <w:r>
              <w:rPr>
                <w:rFonts w:ascii="宋体" w:eastAsia="宋体" w:hAnsi="宋体" w:hint="eastAsia"/>
                <w:sz w:val="24"/>
              </w:rPr>
              <w:t>是否</w:t>
            </w:r>
          </w:p>
          <w:p w14:paraId="51191EA0" w14:textId="77777777" w:rsidR="000615D7" w:rsidRDefault="00EA4B5E">
            <w:pPr>
              <w:jc w:val="center"/>
              <w:rPr>
                <w:rFonts w:ascii="宋体" w:eastAsia="宋体" w:hAnsi="宋体"/>
                <w:sz w:val="24"/>
              </w:rPr>
            </w:pPr>
            <w:r>
              <w:rPr>
                <w:rFonts w:ascii="宋体" w:eastAsia="宋体" w:hAnsi="宋体" w:hint="eastAsia"/>
                <w:sz w:val="24"/>
              </w:rPr>
              <w:t>发表</w:t>
            </w:r>
          </w:p>
        </w:tc>
        <w:tc>
          <w:tcPr>
            <w:tcW w:w="1086" w:type="dxa"/>
            <w:vAlign w:val="center"/>
          </w:tcPr>
          <w:p w14:paraId="4BB8BFF5" w14:textId="77777777" w:rsidR="000615D7" w:rsidRDefault="00EA4B5E">
            <w:pPr>
              <w:jc w:val="center"/>
              <w:rPr>
                <w:rFonts w:ascii="宋体" w:eastAsia="宋体" w:hAnsi="宋体"/>
                <w:sz w:val="24"/>
              </w:rPr>
            </w:pPr>
            <w:r>
              <w:rPr>
                <w:rFonts w:ascii="宋体" w:eastAsia="宋体" w:hAnsi="宋体" w:hint="eastAsia"/>
                <w:sz w:val="24"/>
              </w:rPr>
              <w:t>填：否</w:t>
            </w:r>
          </w:p>
        </w:tc>
        <w:tc>
          <w:tcPr>
            <w:tcW w:w="1418" w:type="dxa"/>
            <w:gridSpan w:val="2"/>
            <w:vAlign w:val="center"/>
          </w:tcPr>
          <w:p w14:paraId="09A9000F" w14:textId="77777777" w:rsidR="000615D7" w:rsidRDefault="00EA4B5E">
            <w:pPr>
              <w:jc w:val="center"/>
              <w:rPr>
                <w:rFonts w:ascii="宋体" w:eastAsia="宋体" w:hAnsi="宋体"/>
                <w:sz w:val="24"/>
              </w:rPr>
            </w:pPr>
            <w:r>
              <w:rPr>
                <w:rFonts w:ascii="宋体" w:eastAsia="宋体" w:hAnsi="宋体" w:hint="eastAsia"/>
                <w:sz w:val="24"/>
              </w:rPr>
              <w:t>是否</w:t>
            </w:r>
          </w:p>
          <w:p w14:paraId="33740210" w14:textId="77777777" w:rsidR="000615D7" w:rsidRDefault="00EA4B5E">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047FE5A6" w14:textId="77777777" w:rsidR="000615D7" w:rsidRDefault="00EA4B5E">
            <w:pPr>
              <w:jc w:val="center"/>
              <w:rPr>
                <w:rFonts w:ascii="宋体" w:eastAsia="宋体" w:hAnsi="宋体"/>
                <w:sz w:val="24"/>
              </w:rPr>
            </w:pPr>
            <w:r>
              <w:rPr>
                <w:rFonts w:ascii="宋体" w:eastAsia="宋体" w:hAnsi="宋体" w:hint="eastAsia"/>
                <w:sz w:val="24"/>
              </w:rPr>
              <w:t>填：是，否</w:t>
            </w:r>
          </w:p>
        </w:tc>
        <w:tc>
          <w:tcPr>
            <w:tcW w:w="992" w:type="dxa"/>
            <w:vAlign w:val="center"/>
          </w:tcPr>
          <w:p w14:paraId="3999CFDF" w14:textId="77777777" w:rsidR="000615D7" w:rsidRDefault="00EA4B5E">
            <w:pPr>
              <w:jc w:val="center"/>
              <w:rPr>
                <w:rFonts w:ascii="宋体" w:eastAsia="宋体" w:hAnsi="宋体"/>
                <w:sz w:val="24"/>
              </w:rPr>
            </w:pPr>
            <w:r>
              <w:rPr>
                <w:rFonts w:ascii="宋体" w:eastAsia="宋体" w:hAnsi="宋体" w:hint="eastAsia"/>
                <w:sz w:val="24"/>
              </w:rPr>
              <w:t>发表</w:t>
            </w:r>
          </w:p>
          <w:p w14:paraId="5CC86B30" w14:textId="77777777" w:rsidR="000615D7" w:rsidRDefault="00EA4B5E">
            <w:pPr>
              <w:jc w:val="center"/>
              <w:rPr>
                <w:rFonts w:ascii="宋体" w:eastAsia="宋体" w:hAnsi="宋体"/>
                <w:sz w:val="24"/>
              </w:rPr>
            </w:pPr>
            <w:r>
              <w:rPr>
                <w:rFonts w:ascii="宋体" w:eastAsia="宋体" w:hAnsi="宋体" w:hint="eastAsia"/>
                <w:sz w:val="24"/>
              </w:rPr>
              <w:t>字数</w:t>
            </w:r>
          </w:p>
        </w:tc>
        <w:tc>
          <w:tcPr>
            <w:tcW w:w="1270" w:type="dxa"/>
            <w:vAlign w:val="center"/>
          </w:tcPr>
          <w:p w14:paraId="0FC4EDBA" w14:textId="77777777" w:rsidR="000615D7" w:rsidRDefault="000615D7">
            <w:pPr>
              <w:jc w:val="center"/>
              <w:rPr>
                <w:rFonts w:ascii="宋体" w:eastAsia="宋体" w:hAnsi="宋体"/>
                <w:sz w:val="24"/>
              </w:rPr>
            </w:pPr>
          </w:p>
        </w:tc>
      </w:tr>
      <w:tr w:rsidR="000615D7" w14:paraId="7FA0D6A2" w14:textId="77777777">
        <w:trPr>
          <w:trHeight w:val="680"/>
          <w:jc w:val="center"/>
        </w:trPr>
        <w:tc>
          <w:tcPr>
            <w:tcW w:w="2361" w:type="dxa"/>
            <w:vAlign w:val="center"/>
          </w:tcPr>
          <w:p w14:paraId="1706F098" w14:textId="77777777" w:rsidR="000615D7" w:rsidRDefault="00EA4B5E">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048B051" w14:textId="77777777" w:rsidR="000615D7" w:rsidRDefault="000615D7">
            <w:pPr>
              <w:rPr>
                <w:rFonts w:ascii="宋体" w:eastAsia="宋体" w:hAnsi="宋体"/>
                <w:sz w:val="24"/>
              </w:rPr>
            </w:pPr>
          </w:p>
        </w:tc>
      </w:tr>
      <w:tr w:rsidR="000615D7" w14:paraId="6ADC47DC" w14:textId="77777777">
        <w:trPr>
          <w:trHeight w:val="680"/>
          <w:jc w:val="center"/>
        </w:trPr>
        <w:tc>
          <w:tcPr>
            <w:tcW w:w="2361" w:type="dxa"/>
            <w:vAlign w:val="center"/>
          </w:tcPr>
          <w:p w14:paraId="5857026F" w14:textId="77777777" w:rsidR="000615D7" w:rsidRDefault="00EA4B5E">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1D052EAC" w14:textId="77777777" w:rsidR="000615D7" w:rsidRDefault="00EA4B5E">
            <w:pPr>
              <w:rPr>
                <w:rFonts w:ascii="宋体" w:eastAsia="宋体" w:hAnsi="宋体"/>
                <w:sz w:val="24"/>
              </w:rPr>
            </w:pPr>
            <w:r>
              <w:rPr>
                <w:rFonts w:ascii="宋体" w:eastAsia="宋体" w:hAnsi="宋体" w:hint="eastAsia"/>
                <w:sz w:val="24"/>
              </w:rPr>
              <w:t>（刊物名称及刊号）</w:t>
            </w:r>
          </w:p>
        </w:tc>
      </w:tr>
      <w:tr w:rsidR="000615D7" w14:paraId="1DCF2BF6" w14:textId="77777777">
        <w:trPr>
          <w:trHeight w:val="3156"/>
          <w:jc w:val="center"/>
        </w:trPr>
        <w:tc>
          <w:tcPr>
            <w:tcW w:w="2361" w:type="dxa"/>
            <w:vAlign w:val="center"/>
          </w:tcPr>
          <w:p w14:paraId="1FBDB8C9" w14:textId="77777777" w:rsidR="000615D7" w:rsidRDefault="00EA4B5E">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4C66C638" w14:textId="77777777" w:rsidR="000615D7" w:rsidRDefault="000615D7">
            <w:pPr>
              <w:rPr>
                <w:rFonts w:ascii="宋体" w:eastAsia="宋体" w:hAnsi="宋体"/>
                <w:sz w:val="24"/>
              </w:rPr>
            </w:pPr>
          </w:p>
        </w:tc>
      </w:tr>
    </w:tbl>
    <w:p w14:paraId="2FD63923" w14:textId="77777777" w:rsidR="000615D7" w:rsidRDefault="000615D7"/>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0615D7" w14:paraId="385997CC" w14:textId="77777777">
        <w:trPr>
          <w:trHeight w:val="680"/>
          <w:jc w:val="center"/>
        </w:trPr>
        <w:tc>
          <w:tcPr>
            <w:tcW w:w="2362" w:type="dxa"/>
            <w:vAlign w:val="center"/>
          </w:tcPr>
          <w:p w14:paraId="485AB31B" w14:textId="77777777" w:rsidR="000615D7" w:rsidRDefault="00EA4B5E">
            <w:pPr>
              <w:jc w:val="center"/>
              <w:rPr>
                <w:rFonts w:ascii="宋体" w:eastAsia="宋体" w:hAnsi="宋体"/>
                <w:sz w:val="24"/>
              </w:rPr>
            </w:pPr>
            <w:r>
              <w:rPr>
                <w:rFonts w:ascii="宋体" w:eastAsia="宋体" w:hAnsi="宋体" w:hint="eastAsia"/>
                <w:sz w:val="24"/>
              </w:rPr>
              <w:lastRenderedPageBreak/>
              <w:t>拟定学位论文</w:t>
            </w:r>
          </w:p>
          <w:p w14:paraId="5A95DFE9" w14:textId="77777777" w:rsidR="000615D7" w:rsidRDefault="00EA4B5E">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42BBC3F6" w14:textId="2A9DAC45" w:rsidR="000615D7" w:rsidRDefault="00560025">
            <w:pPr>
              <w:rPr>
                <w:rFonts w:ascii="宋体" w:eastAsia="宋体" w:hAnsi="宋体"/>
                <w:sz w:val="24"/>
              </w:rPr>
            </w:pPr>
            <w:r w:rsidRPr="00560025">
              <w:rPr>
                <w:rFonts w:ascii="宋体" w:eastAsia="宋体" w:hAnsi="宋体" w:hint="eastAsia"/>
                <w:sz w:val="24"/>
              </w:rPr>
              <w:t>全球经济一体化中</w:t>
            </w:r>
            <w:r w:rsidR="00CE7573">
              <w:rPr>
                <w:rFonts w:ascii="宋体" w:eastAsia="宋体" w:hAnsi="宋体" w:hint="eastAsia"/>
                <w:sz w:val="24"/>
              </w:rPr>
              <w:t>美国央行加息政策与本地跨国企业市值传导效应分析</w:t>
            </w:r>
          </w:p>
        </w:tc>
      </w:tr>
      <w:tr w:rsidR="000615D7" w14:paraId="3EDD8497" w14:textId="77777777">
        <w:trPr>
          <w:trHeight w:val="2560"/>
          <w:jc w:val="center"/>
        </w:trPr>
        <w:tc>
          <w:tcPr>
            <w:tcW w:w="2362" w:type="dxa"/>
            <w:vAlign w:val="center"/>
          </w:tcPr>
          <w:p w14:paraId="6021485F" w14:textId="77777777" w:rsidR="000615D7" w:rsidRDefault="00EA4B5E">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77E2477D" w14:textId="3E83BB0B" w:rsidR="000615D7" w:rsidRDefault="003D4B2D" w:rsidP="003D4B2D">
            <w:pPr>
              <w:rPr>
                <w:rFonts w:ascii="宋体" w:eastAsia="宋体" w:hAnsi="宋体"/>
                <w:sz w:val="24"/>
              </w:rPr>
            </w:pPr>
            <w:r>
              <w:rPr>
                <w:rFonts w:ascii="宋体" w:eastAsia="宋体" w:hAnsi="宋体" w:hint="eastAsia"/>
                <w:sz w:val="24"/>
              </w:rPr>
              <w:t>美国加息政策势必对资金流向以及一直以来的货币量化宽松政策的对冲手段来调节美元资本在资本市场的自由流动，本文将围绕</w:t>
            </w:r>
            <w:r w:rsidR="00560025" w:rsidRPr="00560025">
              <w:rPr>
                <w:rFonts w:ascii="宋体" w:eastAsia="宋体" w:hAnsi="宋体" w:hint="eastAsia"/>
                <w:sz w:val="24"/>
              </w:rPr>
              <w:t>赴美上市</w:t>
            </w:r>
            <w:r>
              <w:rPr>
                <w:rFonts w:ascii="宋体" w:eastAsia="宋体" w:hAnsi="宋体" w:hint="eastAsia"/>
                <w:sz w:val="24"/>
              </w:rPr>
              <w:t>中国企业在美股以及中概股中的表现</w:t>
            </w:r>
            <w:r w:rsidR="00560025" w:rsidRPr="00560025">
              <w:rPr>
                <w:rFonts w:ascii="宋体" w:eastAsia="宋体" w:hAnsi="宋体" w:hint="eastAsia"/>
                <w:sz w:val="24"/>
              </w:rPr>
              <w:t>、</w:t>
            </w:r>
            <w:r>
              <w:rPr>
                <w:rFonts w:ascii="宋体" w:eastAsia="宋体" w:hAnsi="宋体" w:hint="eastAsia"/>
                <w:sz w:val="24"/>
              </w:rPr>
              <w:t>通过加息政策对股票市场的传导效应了解全球经济一体化的赴美上市中国企业市值的波动相关性</w:t>
            </w:r>
          </w:p>
        </w:tc>
      </w:tr>
      <w:tr w:rsidR="000615D7" w14:paraId="18060F32" w14:textId="77777777">
        <w:trPr>
          <w:trHeight w:val="680"/>
          <w:jc w:val="center"/>
        </w:trPr>
        <w:tc>
          <w:tcPr>
            <w:tcW w:w="2362" w:type="dxa"/>
            <w:vAlign w:val="center"/>
          </w:tcPr>
          <w:p w14:paraId="53346A33" w14:textId="77777777" w:rsidR="000615D7" w:rsidRDefault="00EA4B5E">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1CDAFC19" w14:textId="7E8B0E85" w:rsidR="000615D7" w:rsidRDefault="00CE7573" w:rsidP="00BE18D7">
            <w:pPr>
              <w:rPr>
                <w:rFonts w:ascii="宋体" w:eastAsia="宋体" w:hAnsi="宋体"/>
                <w:sz w:val="24"/>
              </w:rPr>
            </w:pPr>
            <w:r>
              <w:rPr>
                <w:rFonts w:ascii="宋体" w:eastAsia="宋体" w:hAnsi="宋体" w:hint="eastAsia"/>
                <w:sz w:val="24"/>
              </w:rPr>
              <w:t>美联储加息政策对赴美上市中国企业市值影响</w:t>
            </w:r>
          </w:p>
        </w:tc>
      </w:tr>
      <w:tr w:rsidR="000615D7" w14:paraId="3BBC5542" w14:textId="77777777">
        <w:trPr>
          <w:trHeight w:val="6386"/>
          <w:jc w:val="center"/>
        </w:trPr>
        <w:tc>
          <w:tcPr>
            <w:tcW w:w="2362" w:type="dxa"/>
            <w:vAlign w:val="center"/>
          </w:tcPr>
          <w:p w14:paraId="3B81A8E9" w14:textId="77777777" w:rsidR="000615D7" w:rsidRDefault="00EA4B5E">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7839D1E0" w14:textId="77777777" w:rsidR="000615D7" w:rsidRDefault="00AE12B8" w:rsidP="00AE12B8">
            <w:pPr>
              <w:pStyle w:val="ListParagraph"/>
              <w:numPr>
                <w:ilvl w:val="0"/>
                <w:numId w:val="1"/>
              </w:numPr>
              <w:ind w:firstLineChars="0"/>
              <w:rPr>
                <w:rFonts w:ascii="宋体" w:eastAsia="宋体" w:hAnsi="宋体"/>
                <w:sz w:val="24"/>
              </w:rPr>
            </w:pPr>
            <w:r w:rsidRPr="00AE12B8">
              <w:rPr>
                <w:rFonts w:ascii="宋体" w:eastAsia="宋体" w:hAnsi="宋体" w:hint="eastAsia"/>
                <w:sz w:val="24"/>
              </w:rPr>
              <w:t xml:space="preserve">绪论 </w:t>
            </w:r>
          </w:p>
          <w:p w14:paraId="5D357968" w14:textId="77777777"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1.1研究意义与背景</w:t>
            </w:r>
          </w:p>
          <w:p w14:paraId="677F6E82" w14:textId="77777777"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1.2文献综述</w:t>
            </w:r>
          </w:p>
          <w:p w14:paraId="1EBF685D" w14:textId="77777777"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1.3理论基础</w:t>
            </w:r>
          </w:p>
          <w:p w14:paraId="30138A48" w14:textId="77777777"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1.4 研究思路与框架</w:t>
            </w:r>
          </w:p>
          <w:p w14:paraId="78ACC578" w14:textId="77777777" w:rsidR="00AE12B8" w:rsidRPr="00AE12B8" w:rsidRDefault="00AE12B8" w:rsidP="00B06183">
            <w:pPr>
              <w:pStyle w:val="ListParagraph"/>
              <w:ind w:left="840" w:firstLineChars="0" w:firstLine="0"/>
              <w:rPr>
                <w:rFonts w:ascii="宋体" w:eastAsia="宋体" w:hAnsi="宋体"/>
                <w:sz w:val="24"/>
              </w:rPr>
            </w:pPr>
            <w:r>
              <w:rPr>
                <w:rFonts w:ascii="宋体" w:eastAsia="宋体" w:hAnsi="宋体" w:hint="eastAsia"/>
                <w:sz w:val="24"/>
              </w:rPr>
              <w:t>1.5论文创新点与不足</w:t>
            </w:r>
          </w:p>
          <w:p w14:paraId="17207A37" w14:textId="6ED0C895" w:rsidR="00AE12B8" w:rsidRDefault="00CE7573" w:rsidP="00AE12B8">
            <w:pPr>
              <w:pStyle w:val="ListParagraph"/>
              <w:numPr>
                <w:ilvl w:val="0"/>
                <w:numId w:val="1"/>
              </w:numPr>
              <w:ind w:firstLineChars="0"/>
              <w:rPr>
                <w:rFonts w:ascii="宋体" w:eastAsia="宋体" w:hAnsi="宋体"/>
                <w:sz w:val="24"/>
              </w:rPr>
            </w:pPr>
            <w:r>
              <w:rPr>
                <w:rFonts w:ascii="宋体" w:eastAsia="宋体" w:hAnsi="宋体" w:hint="eastAsia"/>
                <w:sz w:val="24"/>
              </w:rPr>
              <w:t>美联储加息</w:t>
            </w:r>
          </w:p>
          <w:p w14:paraId="53FD5FEE" w14:textId="12B7EAF8" w:rsidR="00AE12B8" w:rsidRDefault="00AE12B8" w:rsidP="00AE12B8">
            <w:pPr>
              <w:ind w:firstLine="840"/>
              <w:rPr>
                <w:rFonts w:ascii="宋体" w:eastAsia="宋体" w:hAnsi="宋体"/>
                <w:sz w:val="24"/>
              </w:rPr>
            </w:pPr>
            <w:r>
              <w:rPr>
                <w:rFonts w:ascii="宋体" w:eastAsia="宋体" w:hAnsi="宋体" w:hint="eastAsia"/>
                <w:sz w:val="24"/>
              </w:rPr>
              <w:t>2.1</w:t>
            </w:r>
            <w:r w:rsidR="00CE7573">
              <w:rPr>
                <w:rFonts w:ascii="宋体" w:eastAsia="宋体" w:hAnsi="宋体" w:hint="eastAsia"/>
                <w:sz w:val="24"/>
              </w:rPr>
              <w:t>美联储加息阐述</w:t>
            </w:r>
          </w:p>
          <w:p w14:paraId="3A560008" w14:textId="2F49DBCC" w:rsidR="00AE12B8" w:rsidRDefault="00B06183" w:rsidP="00AE12B8">
            <w:pPr>
              <w:ind w:firstLine="840"/>
              <w:rPr>
                <w:rFonts w:ascii="宋体" w:eastAsia="宋体" w:hAnsi="宋体"/>
                <w:sz w:val="24"/>
              </w:rPr>
            </w:pPr>
            <w:r>
              <w:rPr>
                <w:rFonts w:ascii="宋体" w:eastAsia="宋体" w:hAnsi="宋体" w:hint="eastAsia"/>
                <w:sz w:val="24"/>
              </w:rPr>
              <w:t>2.2</w:t>
            </w:r>
            <w:r w:rsidR="00CE7573">
              <w:rPr>
                <w:rFonts w:ascii="宋体" w:eastAsia="宋体" w:hAnsi="宋体"/>
                <w:sz w:val="24"/>
              </w:rPr>
              <w:t xml:space="preserve"> </w:t>
            </w:r>
            <w:r w:rsidR="00CE7573">
              <w:rPr>
                <w:rFonts w:ascii="宋体" w:eastAsia="宋体" w:hAnsi="宋体" w:hint="eastAsia"/>
                <w:sz w:val="24"/>
              </w:rPr>
              <w:t>美联储加息对美股影响分析</w:t>
            </w:r>
          </w:p>
          <w:p w14:paraId="104C1331" w14:textId="4453502F" w:rsidR="00AE12B8" w:rsidRDefault="00AE12B8" w:rsidP="00AE12B8">
            <w:pPr>
              <w:ind w:firstLine="840"/>
              <w:rPr>
                <w:rFonts w:ascii="宋体" w:eastAsia="宋体" w:hAnsi="宋体"/>
                <w:sz w:val="24"/>
              </w:rPr>
            </w:pPr>
            <w:r>
              <w:rPr>
                <w:rFonts w:ascii="宋体" w:eastAsia="宋体" w:hAnsi="宋体" w:hint="eastAsia"/>
                <w:sz w:val="24"/>
              </w:rPr>
              <w:t>2.3</w:t>
            </w:r>
            <w:r w:rsidR="00CE7573">
              <w:rPr>
                <w:rFonts w:ascii="宋体" w:eastAsia="宋体" w:hAnsi="宋体" w:hint="eastAsia"/>
                <w:sz w:val="24"/>
              </w:rPr>
              <w:t>美联储加息对中概股影响分析</w:t>
            </w:r>
          </w:p>
          <w:p w14:paraId="518901F0" w14:textId="31DE5F68" w:rsidR="00AE12B8" w:rsidRPr="00AE12B8" w:rsidRDefault="00AE12B8" w:rsidP="00AE12B8">
            <w:pPr>
              <w:ind w:firstLine="840"/>
              <w:rPr>
                <w:rFonts w:ascii="宋体" w:eastAsia="宋体" w:hAnsi="宋体"/>
                <w:sz w:val="24"/>
              </w:rPr>
            </w:pPr>
            <w:r>
              <w:rPr>
                <w:rFonts w:ascii="宋体" w:eastAsia="宋体" w:hAnsi="宋体" w:hint="eastAsia"/>
                <w:sz w:val="24"/>
              </w:rPr>
              <w:t>2.4</w:t>
            </w:r>
            <w:r w:rsidR="00CE7573">
              <w:rPr>
                <w:rFonts w:ascii="宋体" w:eastAsia="宋体" w:hAnsi="宋体"/>
                <w:sz w:val="24"/>
              </w:rPr>
              <w:t xml:space="preserve"> </w:t>
            </w:r>
            <w:r w:rsidR="00CE7573">
              <w:rPr>
                <w:rFonts w:ascii="宋体" w:eastAsia="宋体" w:hAnsi="宋体" w:hint="eastAsia"/>
                <w:sz w:val="24"/>
              </w:rPr>
              <w:t>赴美上市市值分析</w:t>
            </w:r>
          </w:p>
          <w:p w14:paraId="101C2470" w14:textId="656179E6" w:rsidR="00AE12B8" w:rsidRDefault="00CE7573" w:rsidP="00AE12B8">
            <w:pPr>
              <w:pStyle w:val="ListParagraph"/>
              <w:numPr>
                <w:ilvl w:val="0"/>
                <w:numId w:val="1"/>
              </w:numPr>
              <w:ind w:firstLineChars="0"/>
              <w:rPr>
                <w:rFonts w:ascii="宋体" w:eastAsia="宋体" w:hAnsi="宋体"/>
                <w:sz w:val="24"/>
              </w:rPr>
            </w:pPr>
            <w:r>
              <w:rPr>
                <w:rFonts w:ascii="宋体" w:eastAsia="宋体" w:hAnsi="宋体" w:hint="eastAsia"/>
                <w:sz w:val="24"/>
              </w:rPr>
              <w:t>加息政策与股票市场波动分析</w:t>
            </w:r>
          </w:p>
          <w:p w14:paraId="22AEA4C5" w14:textId="7B90AE03"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3.1</w:t>
            </w:r>
            <w:r w:rsidR="00CE7573">
              <w:rPr>
                <w:rFonts w:ascii="宋体" w:eastAsia="宋体" w:hAnsi="宋体" w:hint="eastAsia"/>
                <w:sz w:val="24"/>
              </w:rPr>
              <w:t>资本流向</w:t>
            </w:r>
            <w:r>
              <w:rPr>
                <w:rFonts w:ascii="宋体" w:eastAsia="宋体" w:hAnsi="宋体" w:hint="eastAsia"/>
                <w:sz w:val="24"/>
              </w:rPr>
              <w:t>影响</w:t>
            </w:r>
          </w:p>
          <w:p w14:paraId="20F3E95E" w14:textId="7F996A09" w:rsidR="00AE12B8" w:rsidRDefault="00AE12B8" w:rsidP="00AE12B8">
            <w:pPr>
              <w:pStyle w:val="ListParagraph"/>
              <w:ind w:left="840" w:firstLineChars="0" w:firstLine="0"/>
              <w:rPr>
                <w:rFonts w:ascii="宋体" w:eastAsia="宋体" w:hAnsi="宋体"/>
                <w:sz w:val="24"/>
              </w:rPr>
            </w:pPr>
            <w:r>
              <w:rPr>
                <w:rFonts w:ascii="宋体" w:eastAsia="宋体" w:hAnsi="宋体" w:hint="eastAsia"/>
                <w:sz w:val="24"/>
              </w:rPr>
              <w:t>3.2</w:t>
            </w:r>
            <w:r w:rsidR="00F0171F">
              <w:rPr>
                <w:rFonts w:ascii="宋体" w:eastAsia="宋体" w:hAnsi="宋体" w:hint="eastAsia"/>
                <w:sz w:val="24"/>
              </w:rPr>
              <w:t>融资成本</w:t>
            </w:r>
            <w:r>
              <w:rPr>
                <w:rFonts w:ascii="宋体" w:eastAsia="宋体" w:hAnsi="宋体" w:hint="eastAsia"/>
                <w:sz w:val="24"/>
              </w:rPr>
              <w:t>影响</w:t>
            </w:r>
          </w:p>
          <w:p w14:paraId="484C7FC8" w14:textId="049866C1" w:rsidR="00AE12B8" w:rsidRDefault="00B06183" w:rsidP="00AE12B8">
            <w:pPr>
              <w:pStyle w:val="ListParagraph"/>
              <w:ind w:left="840" w:firstLineChars="0" w:firstLine="0"/>
              <w:rPr>
                <w:rFonts w:ascii="宋体" w:eastAsia="宋体" w:hAnsi="宋体"/>
                <w:sz w:val="24"/>
              </w:rPr>
            </w:pPr>
            <w:r>
              <w:rPr>
                <w:rFonts w:ascii="宋体" w:eastAsia="宋体" w:hAnsi="宋体" w:hint="eastAsia"/>
                <w:sz w:val="24"/>
              </w:rPr>
              <w:t>3.3</w:t>
            </w:r>
            <w:r w:rsidR="00F0171F">
              <w:rPr>
                <w:rFonts w:ascii="宋体" w:eastAsia="宋体" w:hAnsi="宋体" w:hint="eastAsia"/>
                <w:sz w:val="24"/>
              </w:rPr>
              <w:t>融资渠道</w:t>
            </w:r>
            <w:r>
              <w:rPr>
                <w:rFonts w:ascii="宋体" w:eastAsia="宋体" w:hAnsi="宋体" w:hint="eastAsia"/>
                <w:sz w:val="24"/>
              </w:rPr>
              <w:t>影响</w:t>
            </w:r>
          </w:p>
          <w:p w14:paraId="39CF042F" w14:textId="5F27B5E6" w:rsidR="00B06183" w:rsidRDefault="00B06183" w:rsidP="00AE12B8">
            <w:pPr>
              <w:pStyle w:val="ListParagraph"/>
              <w:ind w:left="840" w:firstLineChars="0" w:firstLine="0"/>
              <w:rPr>
                <w:rFonts w:ascii="宋体" w:eastAsia="宋体" w:hAnsi="宋体"/>
                <w:sz w:val="24"/>
              </w:rPr>
            </w:pPr>
            <w:r>
              <w:rPr>
                <w:rFonts w:ascii="宋体" w:eastAsia="宋体" w:hAnsi="宋体" w:hint="eastAsia"/>
                <w:sz w:val="24"/>
              </w:rPr>
              <w:t>3.4</w:t>
            </w:r>
            <w:r w:rsidR="00560025">
              <w:rPr>
                <w:rFonts w:ascii="宋体" w:eastAsia="宋体" w:hAnsi="宋体" w:hint="eastAsia"/>
                <w:sz w:val="24"/>
              </w:rPr>
              <w:t>盈利影响</w:t>
            </w:r>
          </w:p>
          <w:p w14:paraId="55E04176" w14:textId="60ABE7DE" w:rsidR="00AE12B8" w:rsidRDefault="00CE7573" w:rsidP="00AE12B8">
            <w:pPr>
              <w:pStyle w:val="ListParagraph"/>
              <w:numPr>
                <w:ilvl w:val="0"/>
                <w:numId w:val="1"/>
              </w:numPr>
              <w:ind w:firstLineChars="0"/>
              <w:rPr>
                <w:rFonts w:ascii="宋体" w:eastAsia="宋体" w:hAnsi="宋体"/>
                <w:sz w:val="24"/>
              </w:rPr>
            </w:pPr>
            <w:r>
              <w:rPr>
                <w:rFonts w:ascii="宋体" w:eastAsia="宋体" w:hAnsi="宋体" w:hint="eastAsia"/>
                <w:sz w:val="24"/>
              </w:rPr>
              <w:t>对市值</w:t>
            </w:r>
            <w:r w:rsidR="00AE12B8">
              <w:rPr>
                <w:rFonts w:ascii="宋体" w:eastAsia="宋体" w:hAnsi="宋体" w:hint="eastAsia"/>
                <w:sz w:val="24"/>
              </w:rPr>
              <w:t>影响的研究假设</w:t>
            </w:r>
          </w:p>
          <w:p w14:paraId="173C2329" w14:textId="77777777"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4.1模型设定与数据来源</w:t>
            </w:r>
          </w:p>
          <w:p w14:paraId="791DA6D2" w14:textId="77777777"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4.2模型变量描述</w:t>
            </w:r>
          </w:p>
          <w:p w14:paraId="0195B8B5" w14:textId="77777777"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4.3模型方法论</w:t>
            </w:r>
          </w:p>
          <w:p w14:paraId="67DBB950" w14:textId="41F95D04" w:rsidR="00AE12B8" w:rsidRDefault="00560025" w:rsidP="00AE12B8">
            <w:pPr>
              <w:pStyle w:val="ListParagraph"/>
              <w:numPr>
                <w:ilvl w:val="0"/>
                <w:numId w:val="1"/>
              </w:numPr>
              <w:ind w:firstLineChars="0"/>
              <w:rPr>
                <w:rFonts w:ascii="宋体" w:eastAsia="宋体" w:hAnsi="宋体"/>
                <w:sz w:val="24"/>
              </w:rPr>
            </w:pPr>
            <w:r>
              <w:rPr>
                <w:rFonts w:ascii="宋体" w:eastAsia="宋体" w:hAnsi="宋体" w:hint="eastAsia"/>
                <w:sz w:val="24"/>
              </w:rPr>
              <w:t>对</w:t>
            </w:r>
            <w:r w:rsidR="00BE18D7">
              <w:rPr>
                <w:rFonts w:ascii="宋体" w:eastAsia="宋体" w:hAnsi="宋体" w:hint="eastAsia"/>
                <w:sz w:val="24"/>
              </w:rPr>
              <w:t>市值影响的实证研究</w:t>
            </w:r>
          </w:p>
          <w:p w14:paraId="73612FCA" w14:textId="510190DB"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5.1</w:t>
            </w:r>
            <w:r w:rsidR="00BE18D7">
              <w:rPr>
                <w:rFonts w:ascii="宋体" w:eastAsia="宋体" w:hAnsi="宋体" w:hint="eastAsia"/>
                <w:sz w:val="24"/>
              </w:rPr>
              <w:t>模型的简要概述及估</w:t>
            </w:r>
            <w:bookmarkStart w:id="0" w:name="_GoBack"/>
            <w:bookmarkEnd w:id="0"/>
            <w:r w:rsidR="00BE18D7">
              <w:rPr>
                <w:rFonts w:ascii="宋体" w:eastAsia="宋体" w:hAnsi="宋体" w:hint="eastAsia"/>
                <w:sz w:val="24"/>
              </w:rPr>
              <w:t>计方法</w:t>
            </w:r>
          </w:p>
          <w:p w14:paraId="4EA15E3C" w14:textId="79BA171C" w:rsidR="00B06183" w:rsidRPr="00560025" w:rsidRDefault="00B06183" w:rsidP="00560025">
            <w:pPr>
              <w:pStyle w:val="ListParagraph"/>
              <w:ind w:left="840" w:firstLineChars="0" w:firstLine="0"/>
              <w:rPr>
                <w:rFonts w:ascii="宋体" w:eastAsia="宋体" w:hAnsi="宋体"/>
                <w:sz w:val="24"/>
              </w:rPr>
            </w:pPr>
            <w:r>
              <w:rPr>
                <w:rFonts w:ascii="宋体" w:eastAsia="宋体" w:hAnsi="宋体" w:hint="eastAsia"/>
                <w:sz w:val="24"/>
              </w:rPr>
              <w:t xml:space="preserve">5.2 </w:t>
            </w:r>
            <w:r w:rsidR="00BE18D7">
              <w:rPr>
                <w:rFonts w:ascii="宋体" w:eastAsia="宋体" w:hAnsi="宋体" w:hint="eastAsia"/>
                <w:sz w:val="24"/>
              </w:rPr>
              <w:t>数据选取与处理</w:t>
            </w:r>
          </w:p>
          <w:p w14:paraId="1FA90954" w14:textId="40D59B46"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5</w:t>
            </w:r>
            <w:r w:rsidR="00560025">
              <w:rPr>
                <w:rFonts w:ascii="宋体" w:eastAsia="宋体" w:hAnsi="宋体" w:hint="eastAsia"/>
                <w:sz w:val="24"/>
              </w:rPr>
              <w:t>.3</w:t>
            </w:r>
            <w:r>
              <w:rPr>
                <w:rFonts w:ascii="宋体" w:eastAsia="宋体" w:hAnsi="宋体" w:hint="eastAsia"/>
                <w:sz w:val="24"/>
              </w:rPr>
              <w:t xml:space="preserve"> 实证分析结论</w:t>
            </w:r>
          </w:p>
          <w:p w14:paraId="32D793B7" w14:textId="4C9804B8" w:rsidR="00AE12B8" w:rsidRDefault="00BE18D7" w:rsidP="00AE12B8">
            <w:pPr>
              <w:pStyle w:val="ListParagraph"/>
              <w:numPr>
                <w:ilvl w:val="0"/>
                <w:numId w:val="1"/>
              </w:numPr>
              <w:ind w:firstLineChars="0"/>
              <w:rPr>
                <w:rFonts w:ascii="宋体" w:eastAsia="宋体" w:hAnsi="宋体"/>
                <w:sz w:val="24"/>
              </w:rPr>
            </w:pPr>
            <w:r>
              <w:rPr>
                <w:rFonts w:ascii="宋体" w:eastAsia="宋体" w:hAnsi="宋体" w:hint="eastAsia"/>
                <w:sz w:val="24"/>
              </w:rPr>
              <w:t>主要结论与企业应对策略建议</w:t>
            </w:r>
          </w:p>
          <w:p w14:paraId="134A8FCD" w14:textId="35AB6C0A"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6.1</w:t>
            </w:r>
            <w:r w:rsidR="00BE18D7">
              <w:rPr>
                <w:rFonts w:ascii="宋体" w:eastAsia="宋体" w:hAnsi="宋体" w:hint="eastAsia"/>
                <w:sz w:val="24"/>
              </w:rPr>
              <w:t>主要结论</w:t>
            </w:r>
          </w:p>
          <w:p w14:paraId="4F3B3356" w14:textId="468ED9C3" w:rsidR="00B06183" w:rsidRDefault="00B06183" w:rsidP="00B06183">
            <w:pPr>
              <w:pStyle w:val="ListParagraph"/>
              <w:ind w:left="840" w:firstLineChars="0" w:firstLine="0"/>
              <w:rPr>
                <w:rFonts w:ascii="宋体" w:eastAsia="宋体" w:hAnsi="宋体"/>
                <w:sz w:val="24"/>
              </w:rPr>
            </w:pPr>
            <w:r>
              <w:rPr>
                <w:rFonts w:ascii="宋体" w:eastAsia="宋体" w:hAnsi="宋体" w:hint="eastAsia"/>
                <w:sz w:val="24"/>
              </w:rPr>
              <w:t>6.</w:t>
            </w:r>
            <w:r w:rsidR="00560025">
              <w:rPr>
                <w:rFonts w:ascii="宋体" w:eastAsia="宋体" w:hAnsi="宋体" w:hint="eastAsia"/>
                <w:sz w:val="24"/>
              </w:rPr>
              <w:t>2</w:t>
            </w:r>
            <w:r w:rsidR="00BE18D7">
              <w:rPr>
                <w:rFonts w:ascii="宋体" w:eastAsia="宋体" w:hAnsi="宋体" w:hint="eastAsia"/>
                <w:sz w:val="24"/>
              </w:rPr>
              <w:t>赴美上市企业</w:t>
            </w:r>
            <w:r w:rsidR="001B45A1">
              <w:rPr>
                <w:rFonts w:ascii="宋体" w:eastAsia="宋体" w:hAnsi="宋体" w:hint="eastAsia"/>
                <w:sz w:val="24"/>
              </w:rPr>
              <w:t>市值稳定策略建议</w:t>
            </w:r>
          </w:p>
          <w:p w14:paraId="2D2D3E50" w14:textId="77777777" w:rsidR="00AE12B8" w:rsidRPr="00AE12B8" w:rsidRDefault="00AE12B8" w:rsidP="00AE12B8">
            <w:pPr>
              <w:pStyle w:val="ListParagraph"/>
              <w:numPr>
                <w:ilvl w:val="0"/>
                <w:numId w:val="1"/>
              </w:numPr>
              <w:ind w:firstLineChars="0"/>
              <w:rPr>
                <w:rFonts w:ascii="宋体" w:eastAsia="宋体" w:hAnsi="宋体"/>
                <w:sz w:val="24"/>
              </w:rPr>
            </w:pPr>
            <w:r>
              <w:rPr>
                <w:rFonts w:ascii="宋体" w:eastAsia="宋体" w:hAnsi="宋体" w:hint="eastAsia"/>
                <w:sz w:val="24"/>
              </w:rPr>
              <w:t>结论</w:t>
            </w:r>
          </w:p>
        </w:tc>
      </w:tr>
      <w:tr w:rsidR="000615D7" w14:paraId="42C748A6" w14:textId="77777777">
        <w:trPr>
          <w:trHeight w:val="2683"/>
          <w:jc w:val="center"/>
        </w:trPr>
        <w:tc>
          <w:tcPr>
            <w:tcW w:w="2362" w:type="dxa"/>
            <w:vAlign w:val="center"/>
          </w:tcPr>
          <w:p w14:paraId="431FA8C8" w14:textId="77777777" w:rsidR="000615D7" w:rsidRDefault="00B06183" w:rsidP="00B06183">
            <w:pPr>
              <w:rPr>
                <w:rFonts w:ascii="宋体" w:eastAsia="宋体" w:hAnsi="宋体"/>
                <w:sz w:val="24"/>
              </w:rPr>
            </w:pPr>
            <w:r>
              <w:rPr>
                <w:rFonts w:ascii="宋体" w:eastAsia="宋体" w:hAnsi="宋体" w:hint="eastAsia"/>
                <w:sz w:val="24"/>
              </w:rPr>
              <w:lastRenderedPageBreak/>
              <w:t xml:space="preserve">       论文素材、数据及参考书目</w:t>
            </w:r>
          </w:p>
        </w:tc>
        <w:tc>
          <w:tcPr>
            <w:tcW w:w="6982" w:type="dxa"/>
            <w:vAlign w:val="center"/>
          </w:tcPr>
          <w:p w14:paraId="309AD866" w14:textId="2DE61188" w:rsidR="000615D7" w:rsidRDefault="00560025">
            <w:pPr>
              <w:rPr>
                <w:rFonts w:ascii="宋体" w:eastAsia="宋体" w:hAnsi="宋体" w:cs="宋体"/>
                <w:color w:val="000000"/>
                <w:kern w:val="0"/>
                <w:sz w:val="24"/>
                <w:szCs w:val="24"/>
              </w:rPr>
            </w:pPr>
            <w:r>
              <w:rPr>
                <w:rFonts w:ascii="宋体" w:eastAsia="宋体" w:hAnsi="宋体" w:cs="宋体" w:hint="eastAsia"/>
                <w:color w:val="000000"/>
                <w:kern w:val="0"/>
                <w:sz w:val="24"/>
                <w:szCs w:val="24"/>
              </w:rPr>
              <w:t>上市公司财报可以通过公司官方发布的年度报告中获取，赴美上市企业年报可在美国SEC或公司官网中获取</w:t>
            </w:r>
            <w:r w:rsidR="00F0171F">
              <w:rPr>
                <w:rFonts w:ascii="宋体" w:eastAsia="宋体" w:hAnsi="宋体" w:cs="宋体" w:hint="eastAsia"/>
                <w:color w:val="000000"/>
                <w:kern w:val="0"/>
                <w:sz w:val="24"/>
                <w:szCs w:val="24"/>
              </w:rPr>
              <w:t>，美联储加息数据可在美联储官网历史年鉴、白皮书中获取历时各加息周期相关数据</w:t>
            </w:r>
          </w:p>
          <w:p w14:paraId="6E3B65FF" w14:textId="77777777" w:rsidR="00F0171F" w:rsidRPr="001E52B9" w:rsidRDefault="00F0171F">
            <w:pPr>
              <w:rPr>
                <w:rFonts w:ascii="宋体" w:eastAsia="宋体" w:hAnsi="宋体" w:cs="宋体"/>
                <w:color w:val="000000"/>
                <w:kern w:val="0"/>
                <w:sz w:val="24"/>
                <w:szCs w:val="24"/>
              </w:rPr>
            </w:pPr>
          </w:p>
          <w:p w14:paraId="3F6C8F6E" w14:textId="47334EE9" w:rsidR="00B06183" w:rsidRDefault="00B06183" w:rsidP="00F0171F">
            <w:pPr>
              <w:rPr>
                <w:rFonts w:ascii="宋体" w:eastAsia="宋体" w:hAnsi="宋体" w:cs="宋体"/>
                <w:color w:val="000000"/>
                <w:kern w:val="0"/>
                <w:sz w:val="18"/>
                <w:szCs w:val="18"/>
              </w:rPr>
            </w:pPr>
            <w:r w:rsidRPr="001E52B9">
              <w:rPr>
                <w:rFonts w:ascii="宋体" w:eastAsia="宋体" w:hAnsi="宋体" w:cs="宋体" w:hint="eastAsia"/>
                <w:color w:val="000000"/>
                <w:kern w:val="0"/>
                <w:sz w:val="24"/>
                <w:szCs w:val="24"/>
              </w:rPr>
              <w:t>论文素材参考《</w:t>
            </w:r>
            <w:r w:rsidR="00560025" w:rsidRPr="00560025">
              <w:rPr>
                <w:rFonts w:ascii="宋体" w:eastAsia="宋体" w:hAnsi="宋体" w:cs="宋体" w:hint="eastAsia"/>
                <w:color w:val="000000"/>
                <w:kern w:val="0"/>
                <w:sz w:val="24"/>
                <w:szCs w:val="24"/>
              </w:rPr>
              <w:t>从股市表现看中国科技企业赴美上市</w:t>
            </w:r>
            <w:r w:rsidRPr="001E52B9">
              <w:rPr>
                <w:rFonts w:ascii="宋体" w:eastAsia="宋体" w:hAnsi="宋体" w:cs="宋体" w:hint="eastAsia"/>
                <w:color w:val="000000"/>
                <w:kern w:val="0"/>
                <w:sz w:val="24"/>
                <w:szCs w:val="24"/>
              </w:rPr>
              <w:t>》、</w:t>
            </w:r>
            <w:r w:rsidR="00560025">
              <w:rPr>
                <w:rFonts w:ascii="宋体" w:eastAsia="宋体" w:hAnsi="宋体" w:cs="宋体" w:hint="eastAsia"/>
                <w:color w:val="000000"/>
                <w:kern w:val="0"/>
                <w:sz w:val="24"/>
                <w:szCs w:val="24"/>
              </w:rPr>
              <w:t>、《</w:t>
            </w:r>
            <w:r w:rsidR="00560025" w:rsidRPr="00560025">
              <w:rPr>
                <w:rFonts w:ascii="宋体" w:eastAsia="宋体" w:hAnsi="宋体" w:cs="宋体" w:hint="eastAsia"/>
                <w:color w:val="000000"/>
                <w:kern w:val="0"/>
                <w:sz w:val="24"/>
                <w:szCs w:val="24"/>
              </w:rPr>
              <w:t>赴美上市中国公司盈余品质的实证研究</w:t>
            </w:r>
            <w:r w:rsidR="00560025">
              <w:rPr>
                <w:rFonts w:ascii="宋体" w:eastAsia="宋体" w:hAnsi="宋体" w:cs="宋体" w:hint="eastAsia"/>
                <w:color w:val="000000"/>
                <w:kern w:val="0"/>
                <w:sz w:val="24"/>
                <w:szCs w:val="24"/>
              </w:rPr>
              <w:t>》</w:t>
            </w:r>
            <w:r w:rsidR="00F0171F">
              <w:rPr>
                <w:rFonts w:ascii="宋体" w:eastAsia="宋体" w:hAnsi="宋体" w:cs="宋体" w:hint="eastAsia"/>
                <w:color w:val="000000"/>
                <w:kern w:val="0"/>
                <w:sz w:val="24"/>
                <w:szCs w:val="24"/>
              </w:rPr>
              <w:t>，《美联储加息对中国股票市场影响》</w:t>
            </w:r>
          </w:p>
        </w:tc>
      </w:tr>
    </w:tbl>
    <w:p w14:paraId="723AF267" w14:textId="77777777" w:rsidR="000615D7" w:rsidRDefault="00EA4B5E" w:rsidP="00EA4B5E">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5A723B0C" w14:textId="77777777" w:rsidR="000615D7" w:rsidRDefault="00EA4B5E" w:rsidP="000615D7">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0615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2EA41" w14:textId="77777777" w:rsidR="0044454A" w:rsidRDefault="0044454A" w:rsidP="003232AC">
      <w:r>
        <w:separator/>
      </w:r>
    </w:p>
  </w:endnote>
  <w:endnote w:type="continuationSeparator" w:id="0">
    <w:p w14:paraId="54FFF78A" w14:textId="77777777" w:rsidR="0044454A" w:rsidRDefault="0044454A" w:rsidP="0032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26DFF" w14:textId="77777777" w:rsidR="0044454A" w:rsidRDefault="0044454A" w:rsidP="003232AC">
      <w:r>
        <w:separator/>
      </w:r>
    </w:p>
  </w:footnote>
  <w:footnote w:type="continuationSeparator" w:id="0">
    <w:p w14:paraId="4339BE67" w14:textId="77777777" w:rsidR="0044454A" w:rsidRDefault="0044454A" w:rsidP="00323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4698A"/>
    <w:multiLevelType w:val="hybridMultilevel"/>
    <w:tmpl w:val="8812893C"/>
    <w:lvl w:ilvl="0" w:tplc="A2426664">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615D7"/>
    <w:rsid w:val="000D616E"/>
    <w:rsid w:val="00111AC2"/>
    <w:rsid w:val="001B45A1"/>
    <w:rsid w:val="001C3791"/>
    <w:rsid w:val="001D4ABC"/>
    <w:rsid w:val="001E52B9"/>
    <w:rsid w:val="001F2172"/>
    <w:rsid w:val="003232AC"/>
    <w:rsid w:val="003C213C"/>
    <w:rsid w:val="003D4B2D"/>
    <w:rsid w:val="004118E2"/>
    <w:rsid w:val="0044454A"/>
    <w:rsid w:val="0050419F"/>
    <w:rsid w:val="00556D05"/>
    <w:rsid w:val="00560025"/>
    <w:rsid w:val="00622C44"/>
    <w:rsid w:val="00761113"/>
    <w:rsid w:val="007B25D0"/>
    <w:rsid w:val="007E63A3"/>
    <w:rsid w:val="00807310"/>
    <w:rsid w:val="009D0666"/>
    <w:rsid w:val="009E22B2"/>
    <w:rsid w:val="00A32456"/>
    <w:rsid w:val="00AB5DD7"/>
    <w:rsid w:val="00AD29BD"/>
    <w:rsid w:val="00AE12B8"/>
    <w:rsid w:val="00B06183"/>
    <w:rsid w:val="00BE18D7"/>
    <w:rsid w:val="00CE7573"/>
    <w:rsid w:val="00E441EE"/>
    <w:rsid w:val="00E5705C"/>
    <w:rsid w:val="00E75CB1"/>
    <w:rsid w:val="00EA4B5E"/>
    <w:rsid w:val="00F01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E326A31"/>
  <w15:docId w15:val="{A9CDA7A4-F657-4BCD-8440-382C889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AE12B8"/>
    <w:pPr>
      <w:ind w:firstLineChars="200" w:firstLine="420"/>
    </w:pPr>
  </w:style>
  <w:style w:type="paragraph" w:styleId="Header">
    <w:name w:val="header"/>
    <w:basedOn w:val="Normal"/>
    <w:link w:val="HeaderChar"/>
    <w:uiPriority w:val="99"/>
    <w:unhideWhenUsed/>
    <w:rsid w:val="003D4B2D"/>
    <w:pPr>
      <w:tabs>
        <w:tab w:val="center" w:pos="4320"/>
        <w:tab w:val="right" w:pos="8640"/>
      </w:tabs>
    </w:pPr>
  </w:style>
  <w:style w:type="character" w:customStyle="1" w:styleId="HeaderChar">
    <w:name w:val="Header Char"/>
    <w:basedOn w:val="DefaultParagraphFont"/>
    <w:link w:val="Header"/>
    <w:uiPriority w:val="99"/>
    <w:rsid w:val="003D4B2D"/>
    <w:rPr>
      <w:kern w:val="2"/>
      <w:sz w:val="21"/>
      <w:szCs w:val="22"/>
    </w:rPr>
  </w:style>
  <w:style w:type="paragraph" w:styleId="Footer">
    <w:name w:val="footer"/>
    <w:basedOn w:val="Normal"/>
    <w:link w:val="FooterChar"/>
    <w:uiPriority w:val="99"/>
    <w:unhideWhenUsed/>
    <w:rsid w:val="003D4B2D"/>
    <w:pPr>
      <w:tabs>
        <w:tab w:val="center" w:pos="4320"/>
        <w:tab w:val="right" w:pos="8640"/>
      </w:tabs>
    </w:pPr>
  </w:style>
  <w:style w:type="character" w:customStyle="1" w:styleId="FooterChar">
    <w:name w:val="Footer Char"/>
    <w:basedOn w:val="DefaultParagraphFont"/>
    <w:link w:val="Footer"/>
    <w:uiPriority w:val="99"/>
    <w:rsid w:val="003D4B2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72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HanLu</cp:lastModifiedBy>
  <cp:revision>2</cp:revision>
  <dcterms:created xsi:type="dcterms:W3CDTF">2021-07-20T02:45:00Z</dcterms:created>
  <dcterms:modified xsi:type="dcterms:W3CDTF">2021-07-20T02:45:00Z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