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61040617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戴悦玥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浙江杭州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758137227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826552828@qq.com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浙江科技学院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杭州联合银行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党群服务岗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戴悦玥</w:t>
            </w:r>
            <w:r>
              <w:rPr>
                <w:rFonts w:ascii="宋体" w:hAnsi="宋体" w:eastAsia="宋体"/>
                <w:sz w:val="24"/>
              </w:rPr>
              <w:t>，19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90年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浙江绍兴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浙江省浙江科技学院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-2020年10月</w:t>
            </w:r>
            <w:r>
              <w:rPr>
                <w:rFonts w:hint="default" w:ascii="宋体" w:hAnsi="宋体" w:eastAsia="宋体"/>
                <w:sz w:val="24"/>
              </w:rPr>
              <w:t>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杭州联合银行三墩支行，任职综合管理部经理；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hint="default" w:ascii="宋体" w:hAnsi="宋体" w:eastAsia="宋体"/>
                <w:sz w:val="24"/>
              </w:rPr>
              <w:t>月-至今，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就职于杭州联合银行总行，从事党群服务岗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√</w:t>
            </w: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√</w:t>
            </w: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浅谈中国经济新常态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《常态下的经营管理》北京理工大学出版社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在现有的经济背景下，阐释中国经济发展新常态的内涵，然后对我国经济发展新常态与国外经济发展新常态进行对比分析，继而探索了我国经济发展新常态的未来趋势。</w:t>
            </w:r>
          </w:p>
        </w:tc>
      </w:tr>
    </w:tbl>
    <w:p/>
    <w:tbl>
      <w:tblPr>
        <w:tblStyle w:val="3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50" w:lineRule="atLeast"/>
              <w:ind w:left="0" w:right="0" w:firstLine="0"/>
              <w:jc w:val="center"/>
              <w:textAlignment w:val="center"/>
              <w:rPr>
                <w:rFonts w:hint="default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贸易成本对中国茶叶出口贸易增长的影响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default" w:ascii="宋体" w:hAnsi="宋体" w:eastAsia="微软雅黑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中国是茶树的原产地，是世界上发现和利用茶树最早的国家。2019年，我国不仅是世界上第一大茶叶种植国、世界第一大产茶国，还是全球茶叶出口的主要国家。以往众多研究表明，贸易成本可以影响贸易增长。从这个角度来讲，研究两者关系对于进一步促进茶叶对外贸易发展具有重要意义。本文首先对中国茶叶贸易现状进行了详尽的梳理，展现了茶叶出口贸易的基本特点及研究茶叶出口贸易的必要性；第二，基于经典理论，系统阐释了贸易成本对贸易增长的影响机制；第三，选取了2010年-2019年中国与重要茶叶贸易伙伴国之间的茶叶贸易数据，利用学术界公认的Novy(2011)方法测算双边茶叶贸易成本；第四，运用全球贸易分析模型，依据贸易成本的构成，设定贸易成本优化的不同情景，对比分析各国对贸易成本下降的敏感度与所展现出来的贸易潜能。最后，再以上理论和实证分析基础上，对全文进行总结，对我国茶叶出口贸易发展提出有针对性的政策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贸易成本对中国茶叶出口贸易增长的影响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 导论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 xml:space="preserve">    1.1 研究背景、意义及目标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  <w:t>1.1.1研究背景和意义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1.1.2 主要研究目标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1.2  文献综述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1.2.1 贸易成本的理论研究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1.2.2 贸易成本与贸易增长的理论研究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1.2.3 贸易成本与贸易增长关系的实政研究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1.2.4文献综述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1.3 研究内容与研究方法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1.3.1 研究内容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1.3.2 研究方法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2中国茶叶国际贸易现状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2.1中国茶叶国际贸易市场份额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2.2 中国茶叶国际贸易商品结构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2.3中国茶叶贸易市场流向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3 贸易成本对贸易增长影响的理论分析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3.1影响机制分析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3.2贸易成本构成分析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4 茶叶贸易成本测算与分析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4.1 贸易成本测算方法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4.2 样本选择与数据来源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4.3 茶叶贸易成本测算的结果与分析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5 贸易成本对中国茶叶出口贸易影响的模拟分析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5.1模型设定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5.2模型结果分析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5.2.1影响机制分析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5.2.2宏观条件变动分析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5.2.3出口贸易变动分析</w:t>
            </w:r>
          </w:p>
          <w:p>
            <w:pPr>
              <w:numPr>
                <w:ilvl w:val="0"/>
                <w:numId w:val="0"/>
              </w:numPr>
              <w:ind w:firstLine="482" w:firstLineChars="200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6 主要结论、政策启示及研究展望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6.1 主要结论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6.2 政策启示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宋体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6.3 研究展望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/>
              </w:rPr>
              <w:t>2010-2019年茶叶国际贸易统计年鉴、中国海关数据网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1F6BC0"/>
    <w:rsid w:val="07407B6D"/>
    <w:rsid w:val="11FF26AE"/>
    <w:rsid w:val="17E15731"/>
    <w:rsid w:val="249E2D88"/>
    <w:rsid w:val="2F5F5C88"/>
    <w:rsid w:val="3B24546A"/>
    <w:rsid w:val="40F46561"/>
    <w:rsid w:val="54225A05"/>
    <w:rsid w:val="5A2506FE"/>
    <w:rsid w:val="7EF21CF4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</TotalTime>
  <ScaleCrop>false</ScaleCrop>
  <LinksUpToDate>false</LinksUpToDate>
  <CharactersWithSpaces>471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肉肉</cp:lastModifiedBy>
  <dcterms:modified xsi:type="dcterms:W3CDTF">2021-06-19T06:04:33Z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1AE9D9D261B840A99816150FE90FC273</vt:lpwstr>
  </property>
</Properties>
</file>