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微软雅黑 Light" w:hAnsi="微软雅黑 Light" w:eastAsia="微软雅黑 Light" w:cs="微软雅黑 Light"/>
          <w:sz w:val="28"/>
          <w:szCs w:val="36"/>
          <w:lang w:val="en-US" w:eastAsia="zh-CN"/>
        </w:rPr>
      </w:pPr>
      <w:r>
        <w:rPr>
          <w:rFonts w:hint="eastAsia" w:ascii="微软雅黑 Light" w:hAnsi="微软雅黑 Light" w:eastAsia="微软雅黑 Light" w:cs="微软雅黑 Light"/>
          <w:sz w:val="28"/>
          <w:szCs w:val="36"/>
          <w:lang w:val="en-US" w:eastAsia="zh-CN"/>
        </w:rPr>
        <w:t>共享经济背景下平台企业就业群体医疗保险政策研究</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ABSTRACT 摘要</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TABLE OF CONTENTS 目录</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LIST OF TABLES 表目录</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LIST OF FIGURES 图目录</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第一章 绪论</w:t>
      </w:r>
      <w:bookmarkStart w:id="0" w:name="_GoBack"/>
      <w:bookmarkEnd w:id="0"/>
    </w:p>
    <w:p>
      <w:pPr>
        <w:pStyle w:val="3"/>
        <w:keepNext/>
        <w:keepLines/>
        <w:pageBreakBefore w:val="0"/>
        <w:widowControl w:val="0"/>
        <w:numPr>
          <w:ilvl w:val="1"/>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研究背景及意义</w:t>
      </w:r>
    </w:p>
    <w:p>
      <w:pPr>
        <w:pStyle w:val="4"/>
        <w:keepNext/>
        <w:keepLines/>
        <w:pageBreakBefore w:val="0"/>
        <w:widowControl w:val="0"/>
        <w:numPr>
          <w:ilvl w:val="2"/>
          <w:numId w:val="1"/>
        </w:numPr>
        <w:kinsoku/>
        <w:wordWrap/>
        <w:overflowPunct/>
        <w:topLinePunct w:val="0"/>
        <w:autoSpaceDE/>
        <w:autoSpaceDN/>
        <w:bidi w:val="0"/>
        <w:adjustRightInd/>
        <w:snapToGrid w:val="0"/>
        <w:spacing w:before="0" w:after="0" w:line="240" w:lineRule="atLeast"/>
        <w:ind w:left="0" w:leftChars="0" w:firstLine="0" w:firstLine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研究背景</w:t>
      </w:r>
    </w:p>
    <w:p>
      <w:pPr>
        <w:keepNext w:val="0"/>
        <w:keepLines w:val="0"/>
        <w:pageBreakBefore w:val="0"/>
        <w:widowControl w:val="0"/>
        <w:numPr>
          <w:numId w:val="0"/>
        </w:numPr>
        <w:kinsoku/>
        <w:wordWrap/>
        <w:overflowPunct/>
        <w:topLinePunct w:val="0"/>
        <w:autoSpaceDE/>
        <w:autoSpaceDN/>
        <w:bidi w:val="0"/>
        <w:adjustRightInd/>
        <w:snapToGrid w:val="0"/>
        <w:spacing w:line="320" w:lineRule="exact"/>
        <w:ind w:leftChars="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2020年突发疫情冲击下，知识技能、医疗共享等领域的市场规模大幅增长，且我国就业形势总体稳定并好于预期，当然这离不开我国保就业的系列政策，同时也益于共享经济的发展。共享经济平台的新就业形态具有较大的包容性和灵活性，提供更多的新职业，增加劳动者的收入。</w:t>
      </w:r>
    </w:p>
    <w:p>
      <w:pPr>
        <w:keepNext w:val="0"/>
        <w:keepLines w:val="0"/>
        <w:pageBreakBefore w:val="0"/>
        <w:widowControl w:val="0"/>
        <w:numPr>
          <w:numId w:val="0"/>
        </w:numPr>
        <w:kinsoku/>
        <w:wordWrap/>
        <w:overflowPunct/>
        <w:topLinePunct w:val="0"/>
        <w:autoSpaceDE/>
        <w:autoSpaceDN/>
        <w:bidi w:val="0"/>
        <w:adjustRightInd/>
        <w:snapToGrid w:val="0"/>
        <w:spacing w:line="320" w:lineRule="exact"/>
        <w:ind w:leftChars="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疫情使得人们进一步认识到了新业态新模式的韧性和发展潜力，共享经济发展的制度保障进一步完善。与此同时，共享经济发展中还存在一些亟待解决的问题：大型平台对市场支配地位的不当利用、垄断性扩张等不正当竞争带来的诸多不利影响；平台企业的劳动标准体系不够健全，平台上就业人群的权益得不到保障。</w:t>
      </w:r>
    </w:p>
    <w:p>
      <w:pPr>
        <w:keepNext w:val="0"/>
        <w:keepLines w:val="0"/>
        <w:pageBreakBefore w:val="0"/>
        <w:widowControl w:val="0"/>
        <w:numPr>
          <w:numId w:val="0"/>
        </w:numPr>
        <w:kinsoku/>
        <w:wordWrap/>
        <w:overflowPunct/>
        <w:topLinePunct w:val="0"/>
        <w:autoSpaceDE/>
        <w:autoSpaceDN/>
        <w:bidi w:val="0"/>
        <w:adjustRightInd/>
        <w:snapToGrid w:val="0"/>
        <w:spacing w:line="320" w:lineRule="exact"/>
        <w:ind w:leftChars="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本文就共享经济背景下平台企业上的就业人群的医疗保险现状展开调研，提出面临的问题，分析影响平台就业人群购买医疗保险的因素，探讨促进平台就业人群购买医疗保险的对策。</w:t>
      </w:r>
    </w:p>
    <w:p>
      <w:pPr>
        <w:pStyle w:val="4"/>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1.1.2 理论意义</w:t>
      </w:r>
    </w:p>
    <w:p>
      <w:pPr>
        <w:pStyle w:val="4"/>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1.1.3 实践意义</w:t>
      </w:r>
    </w:p>
    <w:p>
      <w:pPr>
        <w:pStyle w:val="3"/>
        <w:keepNext/>
        <w:keepLines/>
        <w:pageBreakBefore w:val="0"/>
        <w:widowControl w:val="0"/>
        <w:numPr>
          <w:ilvl w:val="1"/>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文献综述</w:t>
      </w:r>
    </w:p>
    <w:p>
      <w:pPr>
        <w:pStyle w:val="4"/>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lang w:val="en-US" w:eastAsia="zh-CN"/>
        </w:rPr>
      </w:pPr>
      <w:r>
        <w:rPr>
          <w:rFonts w:hint="eastAsia" w:ascii="微软雅黑 Light" w:hAnsi="微软雅黑 Light" w:eastAsia="微软雅黑 Light" w:cs="微软雅黑 Light"/>
          <w:b w:val="0"/>
          <w:bCs/>
          <w:sz w:val="24"/>
          <w:szCs w:val="24"/>
          <w:lang w:val="en-US" w:eastAsia="zh-CN"/>
        </w:rPr>
        <w:t>1.2.1 国外研究现状</w:t>
      </w:r>
    </w:p>
    <w:p>
      <w:pPr>
        <w:pStyle w:val="4"/>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1.2.2 国内研究现状</w:t>
      </w:r>
    </w:p>
    <w:p>
      <w:pPr>
        <w:pStyle w:val="3"/>
        <w:keepNext/>
        <w:keepLines/>
        <w:pageBreakBefore w:val="0"/>
        <w:widowControl w:val="0"/>
        <w:numPr>
          <w:ilvl w:val="1"/>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研究内容与研究方法</w:t>
      </w:r>
    </w:p>
    <w:p>
      <w:pPr>
        <w:pStyle w:val="4"/>
        <w:keepNext/>
        <w:keepLines/>
        <w:pageBreakBefore w:val="0"/>
        <w:widowControl w:val="0"/>
        <w:numPr>
          <w:ilvl w:val="2"/>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问卷调查法</w:t>
      </w:r>
    </w:p>
    <w:p>
      <w:pPr>
        <w:pStyle w:val="4"/>
        <w:keepNext/>
        <w:keepLines/>
        <w:pageBreakBefore w:val="0"/>
        <w:widowControl w:val="0"/>
        <w:numPr>
          <w:ilvl w:val="2"/>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文献研究法</w:t>
      </w:r>
    </w:p>
    <w:p>
      <w:pPr>
        <w:pStyle w:val="4"/>
        <w:keepNext/>
        <w:keepLines/>
        <w:pageBreakBefore w:val="0"/>
        <w:widowControl w:val="0"/>
        <w:numPr>
          <w:ilvl w:val="2"/>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实证分析法</w:t>
      </w:r>
    </w:p>
    <w:p>
      <w:pPr>
        <w:pStyle w:val="4"/>
        <w:keepNext/>
        <w:keepLines/>
        <w:pageBreakBefore w:val="0"/>
        <w:widowControl w:val="0"/>
        <w:numPr>
          <w:ilvl w:val="2"/>
          <w:numId w:val="1"/>
        </w:numPr>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 xml:space="preserve"> 访谈法</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第二章 核心概念与基本理论</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2.1 核心概念</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2.1.1 共享经济</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2.1.2 平台企业就业群体</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2.1.3 医疗保险</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2.2 基本理论</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2.2.1 行为决策理论</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2.2.2 生命周期假设</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2.2.3 劳动力市场分割理论</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第三章 平台企业就业群体医疗保险现状</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3.1 平台企业就业群体医疗保险政策</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3.2 平台企业就业群体医疗保险现状</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3.2.1 基本情况</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kern w:val="2"/>
          <w:sz w:val="24"/>
          <w:szCs w:val="24"/>
          <w:lang w:val="en-US" w:eastAsia="zh-CN" w:bidi="ar-SA"/>
        </w:rPr>
      </w:pPr>
      <w:r>
        <w:rPr>
          <w:rFonts w:hint="eastAsia" w:ascii="微软雅黑 Light" w:hAnsi="微软雅黑 Light" w:eastAsia="微软雅黑 Light" w:cs="微软雅黑 Light"/>
          <w:b w:val="0"/>
          <w:bCs/>
          <w:kern w:val="2"/>
          <w:sz w:val="24"/>
          <w:szCs w:val="24"/>
          <w:lang w:val="en-US" w:eastAsia="zh-CN" w:bidi="ar-SA"/>
        </w:rPr>
        <w:t>3.2.2 平台企业就业群体医疗保险的参保率</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default" w:ascii="微软雅黑 Light" w:hAnsi="微软雅黑 Light" w:eastAsia="微软雅黑 Light" w:cs="微软雅黑 Light"/>
          <w:b w:val="0"/>
          <w:bCs/>
          <w:kern w:val="2"/>
          <w:sz w:val="24"/>
          <w:szCs w:val="24"/>
          <w:lang w:val="en-US" w:eastAsia="zh-CN" w:bidi="ar-SA"/>
        </w:rPr>
      </w:pPr>
      <w:r>
        <w:rPr>
          <w:rFonts w:hint="eastAsia" w:ascii="微软雅黑 Light" w:hAnsi="微软雅黑 Light" w:eastAsia="微软雅黑 Light" w:cs="微软雅黑 Light"/>
          <w:b w:val="0"/>
          <w:bCs/>
          <w:kern w:val="2"/>
          <w:sz w:val="24"/>
          <w:szCs w:val="24"/>
          <w:lang w:val="en-US" w:eastAsia="zh-CN" w:bidi="ar-SA"/>
        </w:rPr>
        <w:t>3.2.3 平台企业就业群体事故发生频率及补偿</w:t>
      </w:r>
    </w:p>
    <w:p>
      <w:pPr>
        <w:pStyle w:val="4"/>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default"/>
          <w:lang w:val="en-US" w:eastAsia="zh-CN"/>
        </w:rPr>
      </w:pPr>
      <w:r>
        <w:rPr>
          <w:rFonts w:hint="eastAsia" w:ascii="微软雅黑 Light" w:hAnsi="微软雅黑 Light" w:eastAsia="微软雅黑 Light" w:cs="微软雅黑 Light"/>
          <w:b w:val="0"/>
          <w:bCs/>
          <w:kern w:val="2"/>
          <w:sz w:val="24"/>
          <w:szCs w:val="24"/>
          <w:lang w:val="en-US" w:eastAsia="zh-CN" w:bidi="ar-SA"/>
        </w:rPr>
        <w:t xml:space="preserve">3.2.4 </w:t>
      </w:r>
      <w:r>
        <w:rPr>
          <w:rFonts w:hint="eastAsia" w:ascii="微软雅黑 Light" w:hAnsi="微软雅黑 Light" w:eastAsia="微软雅黑 Light" w:cs="微软雅黑 Light"/>
          <w:b w:val="0"/>
          <w:bCs/>
          <w:kern w:val="2"/>
          <w:sz w:val="24"/>
          <w:szCs w:val="24"/>
          <w:lang w:val="en-US" w:eastAsia="zh-CN" w:bidi="ar-SA"/>
        </w:rPr>
        <w:t>平台企业就业群体参与医疗保险的问题分析</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第四章 影响平台企业就业群体参加医疗保险因素的实证分析</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4.1 研究模型构建</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4.2 调查问卷编制</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4.3 调查对象、方法及统计分析</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lang w:val="en-US" w:eastAsia="zh-CN"/>
        </w:rPr>
      </w:pPr>
      <w:r>
        <w:rPr>
          <w:rFonts w:hint="eastAsia" w:ascii="微软雅黑 Light" w:hAnsi="微软雅黑 Light" w:eastAsia="微软雅黑 Light" w:cs="微软雅黑 Light"/>
          <w:b w:val="0"/>
          <w:bCs/>
          <w:sz w:val="24"/>
          <w:szCs w:val="24"/>
          <w:lang w:val="en-US" w:eastAsia="zh-CN"/>
        </w:rPr>
        <w:t>4.4 影响平台企业就业群体参加医疗保险的其他因素</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第五章 国外灵活就业群体医疗保险政策的经验及启示</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5.1 国外灵活就业群体医疗保险政策</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lang w:val="en-US" w:eastAsia="zh-CN"/>
        </w:rPr>
      </w:pPr>
      <w:r>
        <w:rPr>
          <w:rFonts w:hint="eastAsia" w:ascii="微软雅黑 Light" w:hAnsi="微软雅黑 Light" w:eastAsia="微软雅黑 Light" w:cs="微软雅黑 Light"/>
          <w:b w:val="0"/>
          <w:bCs/>
          <w:sz w:val="24"/>
          <w:szCs w:val="24"/>
          <w:lang w:val="en-US" w:eastAsia="zh-CN"/>
        </w:rPr>
        <w:t>5.2 国外灵活就业群体医疗保险政策的启示</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第六章 促进平台企业就业群体参加医疗保险的对策</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6.1 个人层面</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6.2 政策及法律层面</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lang w:val="en-US" w:eastAsia="zh-CN"/>
        </w:rPr>
      </w:pPr>
      <w:r>
        <w:rPr>
          <w:rFonts w:hint="eastAsia" w:ascii="微软雅黑 Light" w:hAnsi="微软雅黑 Light" w:eastAsia="微软雅黑 Light" w:cs="微软雅黑 Light"/>
          <w:b w:val="0"/>
          <w:bCs/>
          <w:sz w:val="24"/>
          <w:szCs w:val="24"/>
          <w:lang w:val="en-US" w:eastAsia="zh-CN"/>
        </w:rPr>
        <w:t>6.3 服务能力及技术层面</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第七章 结论</w:t>
      </w:r>
    </w:p>
    <w:p>
      <w:pPr>
        <w:pStyle w:val="3"/>
        <w:keepNext/>
        <w:keepLines/>
        <w:pageBreakBefore w:val="0"/>
        <w:widowControl w:val="0"/>
        <w:numPr>
          <w:ilvl w:val="0"/>
          <w:numId w:val="0"/>
        </w:numPr>
        <w:kinsoku/>
        <w:wordWrap/>
        <w:overflowPunct/>
        <w:topLinePunct w:val="0"/>
        <w:autoSpaceDE/>
        <w:autoSpaceDN/>
        <w:bidi w:val="0"/>
        <w:adjustRightInd/>
        <w:snapToGrid w:val="0"/>
        <w:spacing w:before="0" w:after="0" w:line="240" w:lineRule="atLeast"/>
        <w:ind w:leftChars="0"/>
        <w:textAlignment w:val="auto"/>
        <w:rPr>
          <w:rFonts w:hint="default"/>
          <w:lang w:val="en-US" w:eastAsia="zh-CN"/>
        </w:rPr>
      </w:pPr>
      <w:r>
        <w:rPr>
          <w:rFonts w:hint="eastAsia" w:ascii="微软雅黑 Light" w:hAnsi="微软雅黑 Light" w:eastAsia="微软雅黑 Light" w:cs="微软雅黑 Light"/>
          <w:b w:val="0"/>
          <w:bCs/>
          <w:sz w:val="24"/>
          <w:szCs w:val="24"/>
          <w:lang w:val="en-US" w:eastAsia="zh-CN"/>
        </w:rPr>
        <w:t xml:space="preserve">7.1 </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参考文献</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附录</w:t>
      </w:r>
    </w:p>
    <w:p>
      <w:pPr>
        <w:pStyle w:val="2"/>
        <w:keepNext/>
        <w:keepLines/>
        <w:pageBreakBefore w:val="0"/>
        <w:widowControl w:val="0"/>
        <w:kinsoku/>
        <w:wordWrap/>
        <w:overflowPunct/>
        <w:topLinePunct w:val="0"/>
        <w:autoSpaceDE/>
        <w:autoSpaceDN/>
        <w:bidi w:val="0"/>
        <w:adjustRightInd/>
        <w:snapToGrid w:val="0"/>
        <w:spacing w:before="0" w:after="0" w:line="240" w:lineRule="atLeast"/>
        <w:textAlignment w:val="auto"/>
        <w:rPr>
          <w:rFonts w:hint="eastAsia" w:ascii="微软雅黑 Light" w:hAnsi="微软雅黑 Light" w:eastAsia="微软雅黑 Light" w:cs="微软雅黑 Light"/>
          <w:b w:val="0"/>
          <w:bCs/>
          <w:sz w:val="24"/>
          <w:szCs w:val="24"/>
          <w:lang w:val="en-US" w:eastAsia="zh-CN"/>
        </w:rPr>
      </w:pPr>
      <w:r>
        <w:rPr>
          <w:rFonts w:hint="eastAsia" w:ascii="微软雅黑 Light" w:hAnsi="微软雅黑 Light" w:eastAsia="微软雅黑 Light" w:cs="微软雅黑 Light"/>
          <w:b w:val="0"/>
          <w:bCs/>
          <w:sz w:val="24"/>
          <w:szCs w:val="24"/>
          <w:lang w:val="en-US" w:eastAsia="zh-CN"/>
        </w:rPr>
        <w:t>致谢</w:t>
      </w:r>
    </w:p>
    <w:p>
      <w:pPr>
        <w:numPr>
          <w:ilvl w:val="0"/>
          <w:numId w:val="0"/>
        </w:numPr>
        <w:rPr>
          <w:rFonts w:hint="default" w:ascii="微软雅黑 Light" w:hAnsi="微软雅黑 Light" w:eastAsia="微软雅黑 Light" w:cs="微软雅黑 Ligh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0D7668"/>
    <w:multiLevelType w:val="multilevel"/>
    <w:tmpl w:val="AB0D766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092B"/>
    <w:rsid w:val="023C42D0"/>
    <w:rsid w:val="049D2706"/>
    <w:rsid w:val="08D21336"/>
    <w:rsid w:val="0D7F2A2B"/>
    <w:rsid w:val="11123566"/>
    <w:rsid w:val="112B6FA8"/>
    <w:rsid w:val="13A9595A"/>
    <w:rsid w:val="14F24C5E"/>
    <w:rsid w:val="17DF266F"/>
    <w:rsid w:val="188D32BC"/>
    <w:rsid w:val="19A73854"/>
    <w:rsid w:val="1E782647"/>
    <w:rsid w:val="1F9D3EA0"/>
    <w:rsid w:val="22946276"/>
    <w:rsid w:val="247C3925"/>
    <w:rsid w:val="26BD4549"/>
    <w:rsid w:val="2A1D38D8"/>
    <w:rsid w:val="2DA34AFF"/>
    <w:rsid w:val="2FF6639D"/>
    <w:rsid w:val="30ED7EA2"/>
    <w:rsid w:val="315814CB"/>
    <w:rsid w:val="335245E1"/>
    <w:rsid w:val="33D76224"/>
    <w:rsid w:val="341478A5"/>
    <w:rsid w:val="38CF6088"/>
    <w:rsid w:val="3DE94581"/>
    <w:rsid w:val="445433FA"/>
    <w:rsid w:val="4680159E"/>
    <w:rsid w:val="47286208"/>
    <w:rsid w:val="4B881726"/>
    <w:rsid w:val="4F0E57E7"/>
    <w:rsid w:val="526F7A20"/>
    <w:rsid w:val="52EC175A"/>
    <w:rsid w:val="54B529CB"/>
    <w:rsid w:val="58E91E73"/>
    <w:rsid w:val="59805DF4"/>
    <w:rsid w:val="5B1245AC"/>
    <w:rsid w:val="5D5F5AB8"/>
    <w:rsid w:val="66DC1A68"/>
    <w:rsid w:val="677967A8"/>
    <w:rsid w:val="6A8268D1"/>
    <w:rsid w:val="6CC62E16"/>
    <w:rsid w:val="6D7C6B5B"/>
    <w:rsid w:val="70044CD3"/>
    <w:rsid w:val="73DA0C38"/>
    <w:rsid w:val="787E6714"/>
    <w:rsid w:val="7E2946AB"/>
    <w:rsid w:val="7F29769E"/>
    <w:rsid w:val="7F2D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刘俊</dc:creator>
  <cp:lastModifiedBy>刘俊</cp:lastModifiedBy>
  <dcterms:modified xsi:type="dcterms:W3CDTF">2021-08-04T11:30:37Z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