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93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  <w:highlight w:val="yellow"/>
              </w:rPr>
            </w:pPr>
            <w:r>
              <w:rPr>
                <w:rFonts w:hint="eastAsia" w:ascii="宋体" w:hAnsi="宋体" w:eastAsia="宋体"/>
                <w:sz w:val="24"/>
              </w:rPr>
              <w:t>61040658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  <w:highlight w:val="yellow"/>
              </w:rPr>
            </w:pPr>
            <w:r>
              <w:rPr>
                <w:rFonts w:hint="eastAsia" w:ascii="宋体" w:hAnsi="宋体" w:eastAsia="宋体"/>
                <w:sz w:val="24"/>
              </w:rPr>
              <w:t>杨雯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  <w:highlight w:val="yellow"/>
              </w:rPr>
            </w:pPr>
            <w:r>
              <w:rPr>
                <w:rFonts w:hint="eastAsia" w:ascii="宋体" w:hAnsi="宋体" w:eastAsia="宋体"/>
                <w:sz w:val="24"/>
              </w:rPr>
              <w:t>武汉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  <w:highlight w:val="yellow"/>
              </w:rPr>
            </w:pPr>
            <w:r>
              <w:rPr>
                <w:rFonts w:hint="eastAsia" w:ascii="宋体" w:hAnsi="宋体" w:eastAsia="宋体"/>
                <w:sz w:val="24"/>
              </w:rPr>
              <w:t>世界</w:t>
            </w:r>
            <w:r>
              <w:rPr>
                <w:rFonts w:ascii="宋体" w:hAnsi="宋体" w:eastAsia="宋体"/>
                <w:sz w:val="24"/>
              </w:rPr>
              <w:t>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  <w:highlight w:val="yellow"/>
              </w:rPr>
            </w:pPr>
            <w:r>
              <w:rPr>
                <w:rFonts w:hint="eastAsia" w:ascii="宋体" w:hAnsi="宋体" w:eastAsia="宋体"/>
                <w:sz w:val="24"/>
              </w:rPr>
              <w:t>18971146643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  <w:highlight w:val="yellow"/>
              </w:rPr>
            </w:pPr>
            <w:r>
              <w:rPr>
                <w:rFonts w:hint="eastAsia" w:ascii="宋体" w:hAnsi="宋体" w:eastAsia="宋体"/>
                <w:sz w:val="24"/>
              </w:rPr>
              <w:t>317768443@qq.com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  <w:highlight w:val="yellow"/>
              </w:rPr>
            </w:pPr>
            <w:r>
              <w:rPr>
                <w:rFonts w:hint="eastAsia" w:ascii="宋体" w:hAnsi="宋体" w:eastAsia="宋体"/>
                <w:sz w:val="24"/>
              </w:rPr>
              <w:t>武汉理工大学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  <w:highlight w:val="yellow"/>
              </w:rPr>
            </w:pPr>
            <w:r>
              <w:rPr>
                <w:rFonts w:hint="eastAsia" w:ascii="宋体" w:hAnsi="宋体" w:eastAsia="宋体"/>
                <w:sz w:val="24"/>
              </w:rPr>
              <w:t>计算机科学与技术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  <w:highlight w:val="yellow"/>
              </w:rPr>
            </w:pPr>
            <w:r>
              <w:rPr>
                <w:rFonts w:hint="eastAsia" w:ascii="宋体" w:hAnsi="宋体" w:eastAsia="宋体"/>
                <w:sz w:val="24"/>
              </w:rPr>
              <w:t>武汉市唯思保田机械设备有限公司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  <w:highlight w:val="yellow"/>
              </w:rPr>
            </w:pPr>
            <w:r>
              <w:rPr>
                <w:rFonts w:hint="eastAsia" w:ascii="宋体" w:hAnsi="宋体" w:eastAsia="宋体"/>
                <w:sz w:val="24"/>
              </w:rPr>
              <w:t>人力资源主管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8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  <w:highlight w:val="yellow"/>
              </w:rPr>
            </w:pPr>
            <w:r>
              <w:rPr>
                <w:rFonts w:ascii="宋体" w:hAnsi="宋体" w:eastAsia="宋体"/>
                <w:sz w:val="24"/>
              </w:rPr>
              <w:t>本人</w:t>
            </w:r>
            <w:r>
              <w:rPr>
                <w:rFonts w:hint="eastAsia" w:ascii="宋体" w:hAnsi="宋体" w:eastAsia="宋体"/>
                <w:sz w:val="24"/>
              </w:rPr>
              <w:t>杨雯</w:t>
            </w:r>
            <w:r>
              <w:rPr>
                <w:rFonts w:ascii="宋体" w:hAnsi="宋体" w:eastAsia="宋体"/>
                <w:sz w:val="24"/>
              </w:rPr>
              <w:t>，198</w:t>
            </w:r>
            <w:r>
              <w:rPr>
                <w:rFonts w:hint="eastAsia" w:ascii="宋体" w:hAnsi="宋体" w:eastAsia="宋体"/>
                <w:sz w:val="24"/>
              </w:rPr>
              <w:t>7</w:t>
            </w:r>
            <w:r>
              <w:rPr>
                <w:rFonts w:ascii="宋体" w:hAnsi="宋体" w:eastAsia="宋体"/>
                <w:sz w:val="24"/>
              </w:rPr>
              <w:t>出生，籍贯</w:t>
            </w:r>
            <w:r>
              <w:rPr>
                <w:rFonts w:hint="eastAsia" w:ascii="宋体" w:hAnsi="宋体" w:eastAsia="宋体"/>
                <w:sz w:val="24"/>
              </w:rPr>
              <w:t>广东梅县</w:t>
            </w:r>
            <w:r>
              <w:rPr>
                <w:rFonts w:ascii="宋体" w:hAnsi="宋体" w:eastAsia="宋体"/>
                <w:sz w:val="24"/>
              </w:rPr>
              <w:t>，200</w:t>
            </w:r>
            <w:r>
              <w:rPr>
                <w:rFonts w:hint="eastAsia" w:ascii="宋体" w:hAnsi="宋体" w:eastAsia="宋体"/>
                <w:sz w:val="24"/>
              </w:rPr>
              <w:t>5</w:t>
            </w:r>
            <w:r>
              <w:rPr>
                <w:rFonts w:ascii="宋体" w:hAnsi="宋体" w:eastAsia="宋体"/>
                <w:sz w:val="24"/>
              </w:rPr>
              <w:t>-2009年就读于</w:t>
            </w:r>
            <w:r>
              <w:rPr>
                <w:rFonts w:hint="eastAsia" w:ascii="宋体" w:hAnsi="宋体" w:eastAsia="宋体"/>
                <w:sz w:val="24"/>
              </w:rPr>
              <w:t>武汉理工</w:t>
            </w:r>
            <w:r>
              <w:rPr>
                <w:rFonts w:ascii="宋体" w:hAnsi="宋体" w:eastAsia="宋体"/>
                <w:sz w:val="24"/>
              </w:rPr>
              <w:t>大学。</w:t>
            </w: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200</w:t>
            </w:r>
            <w:r>
              <w:rPr>
                <w:rFonts w:hint="eastAsia" w:ascii="宋体" w:hAnsi="宋体" w:eastAsia="宋体"/>
                <w:sz w:val="24"/>
              </w:rPr>
              <w:t>8</w:t>
            </w:r>
            <w:r>
              <w:rPr>
                <w:rFonts w:ascii="宋体" w:hAnsi="宋体" w:eastAsia="宋体"/>
                <w:sz w:val="24"/>
              </w:rPr>
              <w:t>年</w:t>
            </w:r>
            <w:r>
              <w:rPr>
                <w:rFonts w:hint="eastAsia" w:ascii="宋体" w:hAnsi="宋体" w:eastAsia="宋体"/>
                <w:sz w:val="24"/>
              </w:rPr>
              <w:t>10</w:t>
            </w:r>
            <w:r>
              <w:rPr>
                <w:rFonts w:ascii="宋体" w:hAnsi="宋体" w:eastAsia="宋体"/>
                <w:sz w:val="24"/>
              </w:rPr>
              <w:t>月-201</w:t>
            </w:r>
            <w:r>
              <w:rPr>
                <w:rFonts w:hint="eastAsia" w:ascii="宋体" w:hAnsi="宋体" w:eastAsia="宋体"/>
                <w:sz w:val="24"/>
              </w:rPr>
              <w:t>2</w:t>
            </w:r>
            <w:r>
              <w:rPr>
                <w:rFonts w:ascii="宋体" w:hAnsi="宋体" w:eastAsia="宋体"/>
                <w:sz w:val="24"/>
              </w:rPr>
              <w:t>年5月</w:t>
            </w:r>
            <w:r>
              <w:rPr>
                <w:rFonts w:hint="eastAsia" w:ascii="宋体" w:hAnsi="宋体" w:eastAsia="宋体"/>
                <w:sz w:val="24"/>
              </w:rPr>
              <w:t>，</w:t>
            </w:r>
            <w:r>
              <w:rPr>
                <w:rFonts w:ascii="宋体" w:hAnsi="宋体" w:eastAsia="宋体"/>
                <w:sz w:val="24"/>
              </w:rPr>
              <w:t>就职于</w:t>
            </w:r>
            <w:r>
              <w:rPr>
                <w:rFonts w:hint="eastAsia" w:ascii="宋体" w:hAnsi="宋体" w:eastAsia="宋体"/>
                <w:sz w:val="24"/>
              </w:rPr>
              <w:t>武汉开目科技有限公司</w:t>
            </w:r>
            <w:r>
              <w:rPr>
                <w:rFonts w:ascii="宋体" w:hAnsi="宋体" w:eastAsia="宋体"/>
                <w:sz w:val="24"/>
              </w:rPr>
              <w:t>，任</w:t>
            </w:r>
            <w:r>
              <w:rPr>
                <w:rFonts w:hint="eastAsia" w:ascii="宋体" w:hAnsi="宋体" w:eastAsia="宋体"/>
                <w:sz w:val="24"/>
              </w:rPr>
              <w:t>软件工程师</w:t>
            </w:r>
            <w:r>
              <w:rPr>
                <w:rFonts w:ascii="宋体" w:hAnsi="宋体" w:eastAsia="宋体"/>
                <w:sz w:val="24"/>
              </w:rPr>
              <w:t>岗位</w:t>
            </w:r>
            <w:r>
              <w:rPr>
                <w:rFonts w:hint="eastAsia" w:ascii="宋体" w:hAnsi="宋体" w:eastAsia="宋体"/>
                <w:sz w:val="24"/>
              </w:rPr>
              <w:t>；</w:t>
            </w: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2012年7月-2017年3月，就职于北京四方继保有限公司武汉分公司，任综合计调主管；</w:t>
            </w: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2017年4月-至今，就职于武汉市唯思保田机械设备有限公司，</w:t>
            </w:r>
            <w:r>
              <w:rPr>
                <w:rFonts w:ascii="宋体" w:hAnsi="宋体" w:eastAsia="宋体"/>
                <w:sz w:val="24"/>
              </w:rPr>
              <w:t>任职</w:t>
            </w:r>
            <w:r>
              <w:rPr>
                <w:rFonts w:hint="eastAsia" w:ascii="宋体" w:hAnsi="宋体" w:eastAsia="宋体"/>
                <w:sz w:val="24"/>
              </w:rPr>
              <w:t>人力资源主管</w:t>
            </w:r>
            <w:r>
              <w:rPr>
                <w:rFonts w:ascii="宋体" w:hAnsi="宋体" w:eastAsia="宋体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3833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24"/>
              </w:rPr>
              <w:t>后国际金融危机背景下的投资策略选择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《当代金融研究》 2018年1月第二卷2期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6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当下我们正经历着后国际金融危机时期，放眼全球主要经济市场均出现了复苏回暖的迹象，值得引起注意的是目前复苏的基础仍不够牢靠，投资失败时常发生。因此，必须清醒的意识到当前的经济形势对我国的经济发展是十分不利的，阻碍着我国经济又好又快的发展。对此，文章将以当前背景下的投资新机遇作为切入点，结合目前我国企业的实际情况，为我国对外投资献计献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6982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中国农用机械外贸助力第三世界国家后对于他国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农村</w:t>
            </w:r>
            <w:r>
              <w:rPr>
                <w:rFonts w:hint="eastAsia" w:ascii="宋体" w:hAnsi="宋体" w:eastAsia="宋体"/>
                <w:sz w:val="24"/>
              </w:rPr>
              <w:t>劳动力转变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给当地经济带来的增长</w:t>
            </w:r>
            <w:r>
              <w:rPr>
                <w:rFonts w:hint="eastAsia" w:ascii="宋体" w:hAnsi="宋体" w:eastAsia="宋体"/>
                <w:sz w:val="24"/>
              </w:rPr>
              <w:t>及影响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中国机械装备制造业不是只为中国的经济发展作出贡献而已,还要为第三世界国家的经济发展提供助力。自加入WTO之后，我国制造的各类机械设备已远销海外10多年，近些年我国自动化机械设备更是因为价格优廉、品质有保障在南亚、中东、南非等地的第三世界国家中日渐普及尤其在2019年到达一个峰值。本论文主要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讨论</w:t>
            </w:r>
            <w:r>
              <w:rPr>
                <w:rFonts w:hint="eastAsia" w:ascii="宋体" w:hAnsi="宋体" w:eastAsia="宋体"/>
                <w:sz w:val="24"/>
              </w:rPr>
              <w:t>农耕机械出口前后分析南亚地域（暂定印度）的农耕劳动力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转移前后对于该国农村经济发展带来了哪些变化</w:t>
            </w:r>
            <w:r>
              <w:rPr>
                <w:rFonts w:hint="eastAsia" w:ascii="宋体" w:hAnsi="宋体" w:eastAsia="宋体"/>
                <w:sz w:val="24"/>
              </w:rPr>
              <w:t>。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农村经济结构调整和农业资源的优化配置，不仅对国民经济总量增长产生了重大影响，也提高了农村对国民经济的参与度。因此农业制度的变迁通过农村机械化发展的影响，实现了农村经济与国民经济的共同发展；又由于大量机械设配的引进，设备商再当地开设维修场点，也解决了当地农村人口就业问题，从侧面也提高了农村经济水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6982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印度</w:t>
            </w:r>
            <w:r>
              <w:rPr>
                <w:rFonts w:hint="eastAsia" w:ascii="宋体" w:hAnsi="宋体" w:eastAsia="宋体"/>
                <w:sz w:val="24"/>
              </w:rPr>
              <w:t>农村机械化发展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引发</w:t>
            </w:r>
            <w:r>
              <w:rPr>
                <w:rFonts w:hint="eastAsia" w:ascii="宋体" w:hAnsi="宋体" w:eastAsia="宋体"/>
                <w:sz w:val="24"/>
              </w:rPr>
              <w:t>的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农业剩余</w:t>
            </w:r>
            <w:r>
              <w:rPr>
                <w:rFonts w:hint="eastAsia" w:ascii="宋体" w:hAnsi="宋体" w:eastAsia="宋体"/>
                <w:sz w:val="24"/>
              </w:rPr>
              <w:t>劳动力转移对印度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农村经济发展的</w:t>
            </w:r>
            <w:r>
              <w:rPr>
                <w:rFonts w:hint="eastAsia" w:ascii="宋体" w:hAnsi="宋体" w:eastAsia="宋体"/>
                <w:sz w:val="24"/>
              </w:rPr>
              <w:t>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6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拟定学位论文提纲</w:t>
            </w:r>
          </w:p>
        </w:tc>
        <w:tc>
          <w:tcPr>
            <w:tcW w:w="6982" w:type="dxa"/>
            <w:gridSpan w:val="8"/>
            <w:vAlign w:val="center"/>
          </w:tcPr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绪论</w:t>
            </w:r>
          </w:p>
          <w:p>
            <w:pPr>
              <w:pStyle w:val="8"/>
              <w:ind w:left="825" w:firstLine="0" w:firstLineChars="0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1.1选题背景及目的</w:t>
            </w:r>
          </w:p>
          <w:p>
            <w:pPr>
              <w:pStyle w:val="8"/>
              <w:ind w:left="825" w:firstLine="0" w:firstLineChars="0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1.2本文的创新点</w:t>
            </w:r>
          </w:p>
          <w:p>
            <w:pPr>
              <w:pStyle w:val="8"/>
              <w:ind w:left="825" w:firstLine="0" w:firstLineChars="0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1.3</w:t>
            </w:r>
            <w:r>
              <w:rPr>
                <w:rFonts w:ascii="宋体" w:hAnsi="宋体" w:eastAsia="宋体"/>
                <w:sz w:val="24"/>
              </w:rPr>
              <w:t>本文的研究内容与研究方法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文献综述</w:t>
            </w:r>
          </w:p>
          <w:p>
            <w:pPr>
              <w:pStyle w:val="8"/>
              <w:ind w:left="825" w:firstLine="0" w:firstLine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2.1关于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“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二元结构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”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理论研究</w:t>
            </w:r>
          </w:p>
          <w:p>
            <w:pPr>
              <w:pStyle w:val="8"/>
              <w:ind w:left="825" w:firstLine="0" w:firstLine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2.2关于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劳动力转移影响因素的研究</w:t>
            </w:r>
          </w:p>
          <w:p>
            <w:pPr>
              <w:pStyle w:val="8"/>
              <w:ind w:left="825" w:firstLine="0" w:firstLineChars="0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2.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4"/>
              </w:rPr>
              <w:t>文献评述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理论基础与研究假设</w:t>
            </w:r>
          </w:p>
          <w:p>
            <w:pPr>
              <w:pStyle w:val="8"/>
              <w:ind w:left="825" w:firstLine="0" w:firstLineChars="0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3.1</w:t>
            </w:r>
            <w:r>
              <w:rPr>
                <w:rFonts w:ascii="宋体" w:hAnsi="宋体" w:eastAsia="宋体"/>
                <w:sz w:val="24"/>
              </w:rPr>
              <w:t>理论分析</w:t>
            </w:r>
          </w:p>
          <w:p>
            <w:pPr>
              <w:pStyle w:val="8"/>
              <w:ind w:left="825" w:firstLine="0" w:firstLineChars="0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3.2</w:t>
            </w:r>
            <w:r>
              <w:rPr>
                <w:rFonts w:ascii="宋体" w:hAnsi="宋体" w:eastAsia="宋体"/>
                <w:sz w:val="24"/>
              </w:rPr>
              <w:t>假说演绎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印度进口农用机械对当地劳动力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转移带来的农村经济</w:t>
            </w:r>
            <w:r>
              <w:rPr>
                <w:rFonts w:hint="eastAsia" w:ascii="宋体" w:hAnsi="宋体" w:eastAsia="宋体"/>
                <w:sz w:val="24"/>
              </w:rPr>
              <w:t>影响的实证分析</w:t>
            </w:r>
          </w:p>
          <w:p>
            <w:pPr>
              <w:pStyle w:val="8"/>
              <w:ind w:left="825" w:firstLine="0" w:firstLineChars="0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4.1</w:t>
            </w:r>
            <w:r>
              <w:rPr>
                <w:rFonts w:ascii="宋体" w:hAnsi="宋体" w:eastAsia="宋体"/>
                <w:sz w:val="24"/>
              </w:rPr>
              <w:t>样本选择与数据来源</w:t>
            </w:r>
          </w:p>
          <w:p>
            <w:pPr>
              <w:pStyle w:val="8"/>
              <w:ind w:left="825" w:firstLine="0" w:firstLineChars="0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4.2</w:t>
            </w:r>
            <w:r>
              <w:rPr>
                <w:rFonts w:ascii="宋体" w:hAnsi="宋体" w:eastAsia="宋体"/>
                <w:sz w:val="24"/>
              </w:rPr>
              <w:t>关键变量的定义与度量</w:t>
            </w:r>
          </w:p>
          <w:p>
            <w:pPr>
              <w:pStyle w:val="8"/>
              <w:ind w:left="825" w:firstLine="0" w:firstLineChars="0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4.3</w:t>
            </w:r>
            <w:r>
              <w:rPr>
                <w:rFonts w:ascii="宋体" w:hAnsi="宋体" w:eastAsia="宋体"/>
                <w:sz w:val="24"/>
              </w:rPr>
              <w:t>回归模型的构建</w:t>
            </w:r>
          </w:p>
          <w:p>
            <w:pPr>
              <w:pStyle w:val="8"/>
              <w:ind w:left="825" w:firstLine="0" w:firstLineChars="0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4.4</w:t>
            </w:r>
            <w:r>
              <w:rPr>
                <w:rFonts w:ascii="宋体" w:hAnsi="宋体" w:eastAsia="宋体"/>
                <w:sz w:val="24"/>
              </w:rPr>
              <w:t>主要变量的相关性分析</w:t>
            </w:r>
          </w:p>
          <w:p>
            <w:pPr>
              <w:pStyle w:val="8"/>
              <w:ind w:left="825" w:firstLine="0" w:firstLineChars="0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4.5</w:t>
            </w:r>
            <w:r>
              <w:rPr>
                <w:rFonts w:ascii="宋体" w:hAnsi="宋体" w:eastAsia="宋体"/>
                <w:sz w:val="24"/>
              </w:rPr>
              <w:t>回归检验与结果分析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研究结论</w:t>
            </w:r>
          </w:p>
          <w:p>
            <w:pPr>
              <w:ind w:left="825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5.1 本文总结</w:t>
            </w:r>
          </w:p>
          <w:p>
            <w:pPr>
              <w:ind w:left="825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5.2 研究局限性</w:t>
            </w:r>
          </w:p>
          <w:p>
            <w:pPr>
              <w:ind w:left="825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5.3 进一步研究展望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3" w:hRule="atLeast"/>
          <w:jc w:val="center"/>
        </w:trPr>
        <w:tc>
          <w:tcPr>
            <w:tcW w:w="2362" w:type="dxa"/>
            <w:vAlign w:val="center"/>
          </w:tcPr>
          <w:p>
            <w:pPr>
              <w:ind w:left="210" w:leftChars="10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论文素材、数据及参考书目</w:t>
            </w:r>
          </w:p>
        </w:tc>
        <w:tc>
          <w:tcPr>
            <w:tcW w:w="6982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论文素材来自：百度、goolge、必应、知网、万方、维普；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数据来自公司自有或者海关数据；</w:t>
            </w:r>
          </w:p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24"/>
              </w:rPr>
              <w:t>参考书来自市面在售各类经济学教材、展会宣传册；</w:t>
            </w:r>
          </w:p>
        </w:tc>
      </w:tr>
    </w:tbl>
    <w:p>
      <w:pPr>
        <w:ind w:firstLine="422" w:firstLineChars="200"/>
        <w:rPr>
          <w:rFonts w:ascii="宋体" w:hAnsi="宋体" w:eastAsia="宋体"/>
          <w:b/>
          <w:bCs/>
          <w:color w:val="FF0000"/>
        </w:rPr>
      </w:pPr>
      <w:r>
        <w:rPr>
          <w:rFonts w:hint="eastAsia" w:ascii="宋体" w:hAnsi="宋体" w:eastAsia="宋体"/>
          <w:b/>
          <w:bCs/>
          <w:color w:val="FF0000"/>
        </w:rPr>
        <w:t>注：1、请认真填写各项信息，</w:t>
      </w:r>
      <w:r>
        <w:rPr>
          <w:rFonts w:ascii="宋体" w:hAnsi="宋体" w:eastAsia="宋体"/>
          <w:b/>
          <w:bCs/>
          <w:color w:val="FF0000"/>
        </w:rPr>
        <w:t>根据学员</w:t>
      </w:r>
      <w:r>
        <w:rPr>
          <w:rFonts w:hint="eastAsia" w:ascii="宋体" w:hAnsi="宋体" w:eastAsia="宋体"/>
          <w:b/>
          <w:bCs/>
          <w:color w:val="FF0000"/>
        </w:rPr>
        <w:t>相关情况和拟定</w:t>
      </w:r>
      <w:r>
        <w:rPr>
          <w:rFonts w:ascii="宋体" w:hAnsi="宋体" w:eastAsia="宋体"/>
          <w:b/>
          <w:bCs/>
          <w:color w:val="FF0000"/>
        </w:rPr>
        <w:t>论文方向，由院系统一分配指导老师。</w:t>
      </w:r>
    </w:p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>
      <w:pgSz w:w="11906" w:h="16838"/>
      <w:pgMar w:top="1418" w:right="1134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3C3F71"/>
    <w:multiLevelType w:val="multilevel"/>
    <w:tmpl w:val="453C3F71"/>
    <w:lvl w:ilvl="0" w:tentative="0">
      <w:start w:val="1"/>
      <w:numFmt w:val="japaneseCounting"/>
      <w:lvlText w:val="第%1章"/>
      <w:lvlJc w:val="left"/>
      <w:pPr>
        <w:ind w:left="825" w:hanging="8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B5DD7"/>
    <w:rsid w:val="00020E3C"/>
    <w:rsid w:val="00090DA2"/>
    <w:rsid w:val="000A6ED8"/>
    <w:rsid w:val="000D616E"/>
    <w:rsid w:val="00111AC2"/>
    <w:rsid w:val="001C3791"/>
    <w:rsid w:val="001D4ABC"/>
    <w:rsid w:val="001F2172"/>
    <w:rsid w:val="00213893"/>
    <w:rsid w:val="00247E87"/>
    <w:rsid w:val="00315F2F"/>
    <w:rsid w:val="00337B60"/>
    <w:rsid w:val="003B0D5B"/>
    <w:rsid w:val="003C213C"/>
    <w:rsid w:val="00450D25"/>
    <w:rsid w:val="004A1357"/>
    <w:rsid w:val="005036F7"/>
    <w:rsid w:val="00556D05"/>
    <w:rsid w:val="00572EFB"/>
    <w:rsid w:val="005C2307"/>
    <w:rsid w:val="005D62D2"/>
    <w:rsid w:val="005F2863"/>
    <w:rsid w:val="006F3E8A"/>
    <w:rsid w:val="00761113"/>
    <w:rsid w:val="007E4377"/>
    <w:rsid w:val="00807310"/>
    <w:rsid w:val="0081303F"/>
    <w:rsid w:val="00835A5F"/>
    <w:rsid w:val="008A3117"/>
    <w:rsid w:val="008A5080"/>
    <w:rsid w:val="008F2CB0"/>
    <w:rsid w:val="00911AA8"/>
    <w:rsid w:val="009418A4"/>
    <w:rsid w:val="00950558"/>
    <w:rsid w:val="00991D45"/>
    <w:rsid w:val="009D0666"/>
    <w:rsid w:val="009F0B14"/>
    <w:rsid w:val="009F6B39"/>
    <w:rsid w:val="00A32456"/>
    <w:rsid w:val="00AB5DD7"/>
    <w:rsid w:val="00C02DAB"/>
    <w:rsid w:val="00C24606"/>
    <w:rsid w:val="00C34DD0"/>
    <w:rsid w:val="00CB3763"/>
    <w:rsid w:val="00D25229"/>
    <w:rsid w:val="00D52FB5"/>
    <w:rsid w:val="00DA3645"/>
    <w:rsid w:val="00E15542"/>
    <w:rsid w:val="00E45510"/>
    <w:rsid w:val="00E5705C"/>
    <w:rsid w:val="00F067FF"/>
    <w:rsid w:val="00FF1539"/>
    <w:rsid w:val="04E76917"/>
    <w:rsid w:val="16CB0125"/>
    <w:rsid w:val="1A75056F"/>
    <w:rsid w:val="1E504450"/>
    <w:rsid w:val="209A6EF3"/>
    <w:rsid w:val="51AA371A"/>
    <w:rsid w:val="68C477A9"/>
    <w:rsid w:val="722D3EC8"/>
    <w:rsid w:val="73A9096B"/>
    <w:rsid w:val="9EBF8871"/>
    <w:rsid w:val="E971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kern w:val="2"/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kern w:val="2"/>
      <w:sz w:val="18"/>
      <w:szCs w:val="18"/>
    </w:rPr>
  </w:style>
  <w:style w:type="paragraph" w:styleId="8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205</Words>
  <Characters>1174</Characters>
  <Lines>9</Lines>
  <Paragraphs>2</Paragraphs>
  <TotalTime>47</TotalTime>
  <ScaleCrop>false</ScaleCrop>
  <LinksUpToDate>false</LinksUpToDate>
  <CharactersWithSpaces>1377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2021-01-21T00:38:00Z</dcterms:created>
  <dc:creator>Qi Hang</dc:creator>
  <cp:lastModifiedBy> 文子</cp:lastModifiedBy>
  <dcterms:modified xsi:type="dcterms:W3CDTF">2021-06-09T03:46:50Z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4A0D38DA5546461F8DD435A8ABCF18BD</vt:lpwstr>
  </property>
</Properties>
</file>