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61040659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齐祎宁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13349951101</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emotic@163.com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武汉大学</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eastAsia="zh-CN"/>
              </w:rPr>
              <w:t>出版</w:t>
            </w:r>
            <w:r>
              <w:rPr>
                <w:rFonts w:hint="eastAsia" w:ascii="宋体" w:hAnsi="宋体" w:eastAsia="宋体"/>
                <w:sz w:val="24"/>
                <w:lang w:val="en-US" w:eastAsia="zh-CN"/>
              </w:rPr>
              <w:t>科学系（电子出版）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中信证券股份有限公司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hint="eastAsia" w:ascii="宋体" w:hAnsi="宋体" w:eastAsia="宋体"/>
                <w:sz w:val="24"/>
              </w:rPr>
            </w:pPr>
            <w:r>
              <w:rPr>
                <w:rFonts w:hint="eastAsia" w:ascii="宋体" w:hAnsi="宋体" w:eastAsia="宋体"/>
                <w:sz w:val="24"/>
              </w:rPr>
              <w:t>工作经历</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齐祎宁，男，36岁，07年大学本科毕业。先后任职于华中科技大学校办出版社（2007-2010，出版发行员/编辑），国元证券股份有限公司（投资顾问2011，3-2014.12），中信证券股份有限公司，营业部职员，湖北分公司机构部经理，总部固定收益部片区经理等职（2015年2月-至今）。工书法，擅诗词，现在中华诗词学会会员，中国楹联学会会员，书法家协会会员。诗词，书法作品多次获得全国各类奖项，部分优秀作品散见于《中华诗词》杂志、《诗词之友》、《秦都雅韵》、《湖北诗词》等公开专业纸质核心刊物及网络微刊，也多次被公开出版物集结出版（团结出版社，文化中国出版社，黄河文艺出版社等）。经济类方面，主要关注券商的机构业务发展及经纪业务财富管理与各类机构综合类业务的转型结合，基金行业专业化投资等几个方面。擅长专业机构综合类业务的开发与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浅析券商经纪业务线员工综合业务素质提升的必要性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《经济与社会》   CN14-1367/C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券商经纪业务线是贯穿着整个券商所有业务类型的发起点和落脚点，是开发其他业务模式的基石。国内券商主要业务拍照有：经纪业务线、股票销售业务线，投资银行业务线，资产管理业务线，股权衍生品业务线，固定收益业务线，金融市场业务线，直接投资业务线，基金，期货，托管等业务线。作为券商经纪业务线员工，发起各业务线合作的同时，应多跟踪业务线可以交叉协作的节点，起到穿针引线的作品。要想让经纪业务线员工的综合素质得到专业化的提升并起到穿针引线的作用，就应该打造高素质经纪业务线员工队伍，并使其对公司各条业务线开发意识的敏感性和开发能力的专业性做进一步的提升和融合。</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欧盟碳市场化石能源碳排放量与经济增长关系的依存度关系影响研究</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widowControl/>
              <w:suppressLineNumbers w:val="0"/>
              <w:jc w:val="left"/>
              <w:rPr>
                <w:rFonts w:hint="default" w:ascii="宋体" w:hAnsi="宋体" w:eastAsia="宋体" w:cs="宋体"/>
                <w:sz w:val="24"/>
                <w:szCs w:val="24"/>
                <w:lang w:val="en-US"/>
              </w:rPr>
            </w:pPr>
            <w:r>
              <w:rPr>
                <w:rFonts w:hint="eastAsia" w:ascii="宋体" w:hAnsi="宋体" w:eastAsia="宋体" w:cs="宋体"/>
                <w:i w:val="0"/>
                <w:iCs w:val="0"/>
                <w:caps w:val="0"/>
                <w:color w:val="333333"/>
                <w:spacing w:val="0"/>
                <w:sz w:val="24"/>
                <w:szCs w:val="24"/>
                <w:shd w:val="clear" w:fill="FFFFFF"/>
              </w:rPr>
              <w:t>全球气候变化问题引发了一系列极端的天气事件和环境问题,对人类社会的可持续发展带来了巨大的影响,受到国际社会的普遍关注。碳排放权交易,作为一种市场化手段,是近年来讨论全球气候变化问题的经济学范畴之一。</w:t>
            </w:r>
            <w:r>
              <w:rPr>
                <w:rFonts w:hint="eastAsia" w:ascii="宋体" w:hAnsi="宋体" w:eastAsia="宋体" w:cs="宋体"/>
                <w:color w:val="444444"/>
                <w:kern w:val="0"/>
                <w:sz w:val="24"/>
                <w:szCs w:val="24"/>
                <w:lang w:val="en-US" w:eastAsia="zh-CN" w:bidi="ar"/>
              </w:rPr>
              <w:t>本文以</w:t>
            </w:r>
            <w:r>
              <w:rPr>
                <w:rFonts w:hint="eastAsia" w:ascii="宋体" w:hAnsi="宋体" w:eastAsia="宋体"/>
                <w:sz w:val="24"/>
                <w:lang w:val="en-US" w:eastAsia="zh-CN"/>
              </w:rPr>
              <w:t>欧盟碳市场化石能源碳排放量与经济增长关系的影响进行研究，</w:t>
            </w:r>
            <w:r>
              <w:rPr>
                <w:rFonts w:hint="eastAsia" w:ascii="宋体" w:hAnsi="宋体" w:eastAsia="宋体" w:cs="宋体"/>
                <w:color w:val="444444"/>
                <w:kern w:val="0"/>
                <w:sz w:val="24"/>
                <w:szCs w:val="24"/>
                <w:lang w:val="en-US" w:eastAsia="zh-CN" w:bidi="ar"/>
              </w:rPr>
              <w:t>,通过实证分析，跟踪欧盟碳市场化石能源消费产生碳排放量对经济增长的影响，来客观看待新能源替代化石能源的节能减排之路，为我国碳交易市场建立和发展贡献一份微薄之力。</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欧盟碳市场化石能源碳排放量对经济增长(GDP)的影响研究</w:t>
            </w:r>
          </w:p>
          <w:p>
            <w:pPr>
              <w:rPr>
                <w:rFonts w:hint="default" w:ascii="宋体" w:hAnsi="宋体" w:eastAsia="宋体"/>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欧盟碳市场化石能源碳排放量与经济增长(GDP)的影响研究</w:t>
            </w:r>
          </w:p>
          <w:p>
            <w:pPr>
              <w:rPr>
                <w:rFonts w:hint="eastAsia" w:ascii="宋体" w:hAnsi="宋体" w:eastAsia="宋体"/>
                <w:sz w:val="24"/>
                <w:lang w:val="en-US" w:eastAsia="zh-CN"/>
              </w:rPr>
            </w:pPr>
          </w:p>
          <w:p>
            <w:pPr>
              <w:ind w:firstLine="3120" w:firstLineChars="1300"/>
              <w:rPr>
                <w:rFonts w:hint="eastAsia" w:ascii="宋体" w:hAnsi="宋体" w:eastAsia="宋体" w:cs="宋体"/>
                <w:sz w:val="24"/>
                <w:szCs w:val="24"/>
              </w:rPr>
            </w:pPr>
            <w:r>
              <w:rPr>
                <w:rFonts w:hint="eastAsia" w:ascii="宋体" w:hAnsi="宋体" w:eastAsia="宋体" w:cs="宋体"/>
                <w:sz w:val="24"/>
                <w:szCs w:val="24"/>
              </w:rPr>
              <w:t>摘要</w:t>
            </w:r>
          </w:p>
          <w:p>
            <w:pPr>
              <w:ind w:firstLine="3120" w:firstLineChars="1300"/>
              <w:rPr>
                <w:rFonts w:hint="eastAsia" w:ascii="宋体" w:hAnsi="宋体" w:eastAsia="宋体" w:cs="宋体"/>
                <w:sz w:val="24"/>
                <w:szCs w:val="24"/>
              </w:rPr>
            </w:pPr>
            <w:r>
              <w:rPr>
                <w:rFonts w:hint="eastAsia" w:ascii="宋体" w:hAnsi="宋体" w:eastAsia="宋体" w:cs="宋体"/>
                <w:sz w:val="24"/>
                <w:szCs w:val="24"/>
              </w:rPr>
              <w:t>Abstract</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 xml:space="preserve">                    目录</w:t>
            </w:r>
          </w:p>
          <w:p>
            <w:pPr>
              <w:pStyle w:val="4"/>
              <w:numPr>
                <w:ilvl w:val="0"/>
                <w:numId w:val="1"/>
              </w:numPr>
              <w:ind w:left="1182" w:leftChars="0" w:firstLineChars="0"/>
              <w:rPr>
                <w:rFonts w:hint="eastAsia" w:ascii="宋体" w:hAnsi="宋体" w:eastAsia="宋体" w:cs="宋体"/>
                <w:sz w:val="24"/>
                <w:szCs w:val="24"/>
              </w:rPr>
            </w:pPr>
            <w:r>
              <w:rPr>
                <w:rFonts w:hint="eastAsia" w:ascii="宋体" w:hAnsi="宋体" w:eastAsia="宋体" w:cs="宋体"/>
                <w:sz w:val="24"/>
                <w:szCs w:val="24"/>
              </w:rPr>
              <w:t>绪论</w:t>
            </w:r>
          </w:p>
          <w:p>
            <w:pPr>
              <w:pStyle w:val="4"/>
              <w:ind w:left="972" w:firstLine="0" w:firstLineChars="0"/>
              <w:rPr>
                <w:rFonts w:hint="eastAsia" w:ascii="宋体" w:hAnsi="宋体" w:eastAsia="宋体" w:cs="宋体"/>
                <w:sz w:val="24"/>
                <w:szCs w:val="24"/>
              </w:rPr>
            </w:pPr>
            <w:r>
              <w:rPr>
                <w:rFonts w:hint="eastAsia" w:ascii="宋体" w:hAnsi="宋体" w:eastAsia="宋体" w:cs="宋体"/>
                <w:sz w:val="24"/>
                <w:szCs w:val="24"/>
              </w:rPr>
              <w:t>1.1选题背景</w:t>
            </w:r>
          </w:p>
          <w:p>
            <w:pPr>
              <w:pStyle w:val="4"/>
              <w:ind w:left="972" w:firstLine="0" w:firstLineChars="0"/>
              <w:rPr>
                <w:rFonts w:hint="eastAsia" w:ascii="宋体" w:hAnsi="宋体" w:eastAsia="宋体" w:cs="宋体"/>
                <w:sz w:val="24"/>
                <w:szCs w:val="24"/>
              </w:rPr>
            </w:pPr>
            <w:r>
              <w:rPr>
                <w:rFonts w:hint="eastAsia" w:ascii="宋体" w:hAnsi="宋体" w:eastAsia="宋体" w:cs="宋体"/>
                <w:sz w:val="24"/>
                <w:szCs w:val="24"/>
              </w:rPr>
              <w:t>1.2选题意义</w:t>
            </w:r>
          </w:p>
          <w:p>
            <w:pPr>
              <w:pStyle w:val="4"/>
              <w:ind w:left="972" w:firstLine="0" w:firstLineChars="0"/>
              <w:rPr>
                <w:rFonts w:hint="eastAsia" w:ascii="宋体" w:hAnsi="宋体" w:eastAsia="宋体" w:cs="宋体"/>
                <w:sz w:val="24"/>
                <w:szCs w:val="24"/>
              </w:rPr>
            </w:pPr>
            <w:r>
              <w:rPr>
                <w:rFonts w:hint="eastAsia" w:ascii="宋体" w:hAnsi="宋体" w:eastAsia="宋体" w:cs="宋体"/>
                <w:sz w:val="24"/>
                <w:szCs w:val="24"/>
              </w:rPr>
              <w:t>1.3研究思路及内容</w:t>
            </w:r>
          </w:p>
          <w:p>
            <w:pPr>
              <w:pStyle w:val="4"/>
              <w:numPr>
                <w:ilvl w:val="0"/>
                <w:numId w:val="1"/>
              </w:numPr>
              <w:ind w:left="1182" w:leftChars="0" w:firstLineChars="0"/>
              <w:rPr>
                <w:rFonts w:hint="eastAsia" w:ascii="宋体" w:hAnsi="宋体" w:eastAsia="宋体" w:cs="宋体"/>
                <w:sz w:val="24"/>
                <w:szCs w:val="24"/>
              </w:rPr>
            </w:pPr>
            <w:r>
              <w:rPr>
                <w:rFonts w:hint="eastAsia" w:ascii="宋体" w:hAnsi="宋体" w:eastAsia="宋体" w:cs="宋体"/>
                <w:sz w:val="24"/>
                <w:szCs w:val="24"/>
              </w:rPr>
              <w:t>文献综述</w:t>
            </w:r>
          </w:p>
          <w:p>
            <w:pPr>
              <w:pStyle w:val="4"/>
              <w:ind w:left="972"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2.1国内外研究现状</w:t>
            </w:r>
            <w:r>
              <w:rPr>
                <w:rFonts w:hint="eastAsia" w:ascii="宋体" w:hAnsi="宋体" w:eastAsia="宋体" w:cs="宋体"/>
                <w:sz w:val="24"/>
                <w:szCs w:val="24"/>
                <w:lang w:val="en-US" w:eastAsia="zh-CN"/>
              </w:rPr>
              <w:t>综述</w:t>
            </w:r>
          </w:p>
          <w:p>
            <w:pPr>
              <w:pStyle w:val="4"/>
              <w:ind w:left="972" w:firstLine="0" w:firstLineChars="0"/>
              <w:rPr>
                <w:rFonts w:hint="eastAsia" w:ascii="宋体" w:hAnsi="宋体" w:eastAsia="宋体" w:cs="宋体"/>
                <w:sz w:val="24"/>
                <w:szCs w:val="24"/>
              </w:rPr>
            </w:pPr>
            <w:r>
              <w:rPr>
                <w:rFonts w:hint="eastAsia" w:ascii="宋体" w:hAnsi="宋体" w:eastAsia="宋体" w:cs="宋体"/>
                <w:sz w:val="24"/>
                <w:szCs w:val="24"/>
              </w:rPr>
              <w:t>2.2文献评述小结</w:t>
            </w:r>
          </w:p>
          <w:p>
            <w:pPr>
              <w:pStyle w:val="4"/>
              <w:numPr>
                <w:ilvl w:val="0"/>
                <w:numId w:val="1"/>
              </w:numPr>
              <w:ind w:left="1182" w:leftChars="0" w:firstLineChars="0"/>
              <w:rPr>
                <w:rFonts w:hint="eastAsia" w:ascii="宋体" w:hAnsi="宋体" w:eastAsia="宋体" w:cs="宋体"/>
                <w:sz w:val="24"/>
                <w:szCs w:val="24"/>
              </w:rPr>
            </w:pPr>
            <w:r>
              <w:rPr>
                <w:rFonts w:hint="eastAsia" w:ascii="宋体" w:hAnsi="宋体" w:eastAsia="宋体" w:cs="宋体"/>
                <w:sz w:val="24"/>
                <w:szCs w:val="24"/>
                <w:lang w:val="en-US" w:eastAsia="zh-CN"/>
              </w:rPr>
              <w:t>欧盟碳排放体系发展情况介绍</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3.1 </w:t>
            </w:r>
            <w:r>
              <w:rPr>
                <w:rFonts w:hint="eastAsia" w:ascii="宋体" w:hAnsi="宋体" w:eastAsia="宋体" w:cs="宋体"/>
                <w:b w:val="0"/>
                <w:bCs w:val="0"/>
                <w:color w:val="auto"/>
                <w:kern w:val="0"/>
                <w:sz w:val="24"/>
                <w:szCs w:val="24"/>
                <w:lang w:val="en-US" w:eastAsia="zh-CN" w:bidi="ar"/>
              </w:rPr>
              <w:t>欧盟排放权交易制（EU ETS）发展的四个阶段</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3.2 </w:t>
            </w:r>
            <w:r>
              <w:rPr>
                <w:rFonts w:hint="eastAsia" w:ascii="宋体" w:hAnsi="宋体" w:eastAsia="宋体" w:cs="宋体"/>
                <w:color w:val="000000"/>
                <w:kern w:val="0"/>
                <w:sz w:val="24"/>
                <w:szCs w:val="24"/>
                <w:lang w:val="en-US" w:eastAsia="zh-CN" w:bidi="ar"/>
              </w:rPr>
              <w:t>欧盟碳交易市场的主要交易方式与区别</w:t>
            </w:r>
          </w:p>
          <w:p>
            <w:pPr>
              <w:pStyle w:val="4"/>
              <w:numPr>
                <w:ilvl w:val="0"/>
                <w:numId w:val="0"/>
              </w:numPr>
              <w:ind w:left="21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3.3 欧盟碳交易各类交易品种运行情况概要</w:t>
            </w:r>
          </w:p>
          <w:p>
            <w:pPr>
              <w:pStyle w:val="4"/>
              <w:numPr>
                <w:ilvl w:val="0"/>
                <w:numId w:val="0"/>
              </w:numPr>
              <w:ind w:firstLine="240" w:firstLineChars="100"/>
              <w:rPr>
                <w:rFonts w:hint="default" w:ascii="宋体" w:hAnsi="宋体" w:eastAsia="宋体" w:cs="宋体"/>
                <w:sz w:val="24"/>
                <w:szCs w:val="24"/>
                <w:lang w:val="en-US"/>
              </w:rPr>
            </w:pPr>
            <w:r>
              <w:rPr>
                <w:rFonts w:hint="eastAsia" w:ascii="宋体" w:hAnsi="宋体" w:eastAsia="宋体" w:cs="宋体"/>
                <w:sz w:val="24"/>
                <w:szCs w:val="24"/>
                <w:lang w:val="en-US" w:eastAsia="zh-CN"/>
              </w:rPr>
              <w:t>第4章 欧盟化石能源使用及排放量数据概述</w:t>
            </w:r>
          </w:p>
          <w:p>
            <w:pPr>
              <w:keepNext w:val="0"/>
              <w:keepLines w:val="0"/>
              <w:widowControl/>
              <w:suppressLineNumbers w:val="0"/>
              <w:ind w:firstLine="960" w:firstLineChars="4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.1</w:t>
            </w:r>
            <w:r>
              <w:rPr>
                <w:rFonts w:hint="eastAsia" w:ascii="宋体" w:hAnsi="宋体" w:eastAsia="宋体" w:cs="宋体"/>
                <w:color w:val="000000"/>
                <w:kern w:val="0"/>
                <w:sz w:val="24"/>
                <w:szCs w:val="24"/>
                <w:lang w:val="en-US" w:eastAsia="zh-CN" w:bidi="ar"/>
              </w:rPr>
              <w:t>化石能源概述</w:t>
            </w:r>
          </w:p>
          <w:p>
            <w:pPr>
              <w:pStyle w:val="4"/>
              <w:ind w:left="972"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4.2欧盟化石能源碳排放量（天然气、煤炭、石油）</w:t>
            </w:r>
          </w:p>
          <w:p>
            <w:pPr>
              <w:pStyle w:val="4"/>
              <w:ind w:left="972"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4.3 欧盟碳市场化石能源使用对经济增长的影响</w:t>
            </w:r>
          </w:p>
          <w:p>
            <w:pPr>
              <w:pStyle w:val="4"/>
              <w:ind w:left="972"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4.4化石能源对气候变化的影响（ONI与拉尼娜指标）</w:t>
            </w:r>
          </w:p>
          <w:p>
            <w:pPr>
              <w:pStyle w:val="4"/>
              <w:ind w:left="972"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4.5欧盟碳市场减排作用下经济增长情况概览（GDP指标）</w:t>
            </w:r>
          </w:p>
          <w:p>
            <w:pPr>
              <w:pStyle w:val="4"/>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第5章 实</w:t>
            </w:r>
            <w:r>
              <w:rPr>
                <w:rFonts w:hint="eastAsia" w:ascii="宋体" w:hAnsi="宋体" w:eastAsia="宋体" w:cs="宋体"/>
                <w:sz w:val="24"/>
                <w:szCs w:val="24"/>
              </w:rPr>
              <w:t>证结果分析</w:t>
            </w:r>
          </w:p>
          <w:p>
            <w:pPr>
              <w:pStyle w:val="4"/>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5.1样本数据选取和处理说明</w:t>
            </w:r>
          </w:p>
          <w:p>
            <w:pPr>
              <w:pStyle w:val="4"/>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5.2模型选择及公式推导（线性回归模型设定）</w:t>
            </w:r>
          </w:p>
          <w:p>
            <w:pPr>
              <w:pStyle w:val="4"/>
              <w:numPr>
                <w:ilvl w:val="0"/>
                <w:numId w:val="0"/>
              </w:numPr>
              <w:ind w:leftChars="0"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5.3机器学习实证数据回归（协整数据，平稳性检验）</w:t>
            </w:r>
          </w:p>
          <w:p>
            <w:pPr>
              <w:pStyle w:val="4"/>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第6章 </w:t>
            </w:r>
            <w:r>
              <w:rPr>
                <w:rFonts w:hint="eastAsia" w:ascii="宋体" w:hAnsi="宋体" w:eastAsia="宋体" w:cs="宋体"/>
                <w:sz w:val="24"/>
                <w:szCs w:val="24"/>
              </w:rPr>
              <w:t>结论与建议</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rPr>
              <w:t>参考文献</w:t>
            </w:r>
          </w:p>
          <w:p>
            <w:pPr>
              <w:jc w:val="left"/>
              <w:rPr>
                <w:rFonts w:hint="eastAsia" w:ascii="宋体" w:hAnsi="宋体" w:eastAsia="宋体" w:cs="宋体"/>
                <w:sz w:val="24"/>
                <w:szCs w:val="24"/>
              </w:rPr>
            </w:pPr>
            <w:r>
              <w:rPr>
                <w:rFonts w:hint="eastAsia" w:ascii="宋体" w:hAnsi="宋体" w:eastAsia="宋体" w:cs="宋体"/>
                <w:sz w:val="24"/>
                <w:szCs w:val="24"/>
              </w:rPr>
              <w:t>致谢</w:t>
            </w:r>
            <w:bookmarkStart w:id="0" w:name="_GoBack"/>
            <w:bookmarkEnd w:id="0"/>
          </w:p>
          <w:p>
            <w:pPr>
              <w:rPr>
                <w:rFonts w:hint="eastAsia" w:ascii="宋体" w:hAnsi="宋体" w:eastAsia="宋体" w:cs="宋体"/>
                <w:sz w:val="24"/>
                <w:szCs w:val="24"/>
              </w:rPr>
            </w:pPr>
            <w:r>
              <w:rPr>
                <w:rFonts w:hint="eastAsia" w:ascii="宋体" w:hAnsi="宋体" w:eastAsia="宋体" w:cs="宋体"/>
                <w:sz w:val="24"/>
                <w:szCs w:val="24"/>
              </w:rPr>
              <w:t>附录</w:t>
            </w:r>
          </w:p>
          <w:p>
            <w:pPr>
              <w:rPr>
                <w:rFonts w:ascii="宋体" w:hAnsi="宋体" w:eastAsia="宋体"/>
                <w:sz w:val="24"/>
              </w:rPr>
            </w:pPr>
            <w:r>
              <w:rPr>
                <w:rFonts w:hint="eastAsia" w:ascii="宋体" w:hAnsi="宋体" w:eastAsia="宋体"/>
                <w:sz w:val="24"/>
              </w:rPr>
              <w:t>（写至二级标题，一级标题为章，二级标题为节）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sz w:val="24"/>
                <w:szCs w:val="24"/>
              </w:rPr>
            </w:pPr>
            <w:r>
              <w:rPr>
                <w:rFonts w:ascii="宋体" w:hAnsi="宋体" w:eastAsia="宋体" w:cs="宋体"/>
                <w:sz w:val="24"/>
                <w:szCs w:val="24"/>
              </w:rPr>
              <w:t>［1］MANSANET-BATALLEＲ M，VALOＲ E． CO2 prices，energy and weather ［J］． Energy journal，2007，28( 3) : 73 － 92． ［2］海小辉，杨宝臣． 欧盟排放交易体系与化石能源市场动态关系研 究［J］． 资源科学，2014 ( 7) : 1442 － 1451．［HAI Xiaohui，YANG Baochen． The dynamic relationship between the European Union’s emission trading scheme and energy market［J］． Ｒesources science， 2014( 7) : 1442 － 1451．］ ［3］陈晓红，王陟昀． 碳排放权交易价格影响因素实证研究———以欧 盟排放交易体系( EUETS) 为例［J］． 系统工程，2012( 2) : 53 － 60． ［CHEN Xiaohong，WANG Zhiyun． Empirical research on price impact factor of carbon emission exchange: evidence from EU ETS ［J］． Systems engineering，2012( 2) : 53 － 60．］ ［4］汪文隽，柏林． 欧盟碳配额价格影响因素研究［J］． 云南师范大学 学报( 哲学社会科学版) ，2013( 4) : 135 － 143． ［WANG Wenjun， BO Lin． A study of the impacting factors related to EUCA price［J］． Journal of Yunnan Normal University ( philosophy and social sciences edition) ，2013( 4) : 135 － 143．］ ［5］ALBEＲOLA E，CHEVALLIEＲ J，CHEZE B． Price drivers and structural breaks in European carbon prices 2005 － 2007［J］． Energy policy，2008，36( 2) : 787 － 797． ［6］CHＲISTIANSEN A C，AＲVANITAKIS A，TANGEN K，et al． Price determinants in the EU emission trading scheme［J］． Climate policy， 2005，5( 1) : 15 － 30． ［7］CHEVALLIEＲ J． Carbon futures and macroeconomic risk factors: a view from the EU ETS ［J］． Energy economics，2009，31 ( 4 ) : 614 － 615． ［8］NAZIFI F． Modeling the price spread between the EUA and the CEＲ carbon prices［J］． Energy policy，2010，56( 5) : 434 － 445． ［9］BAＲＲIEU P M，FEHＲ M． Integrated EUA and CEＲ price modeling and application for spread option pricing ［J］． Ssrn electronic journal，2011． ［10］CAO Guangxi，WEI Xu． Multifractal features of EUA and CEＲ futures markets by using multifractal detrended fluctuation analysis based on empirical model decomposition ［J］． Chaos solitons ＆ fractals，2016，83: 212 － 222． ［11］王玉，郇志坚． 欧盟碳排放权交易市场的价格发现和波动溢出 研究［J］． 中 国 人 口 · 资 源 与 环 境，2012 ( S1 ) : 244 － 249． ［WANG Yu，HUAN Zhijian． Ｒesearch on price discovery and volatility spillover effect in EU carbon emissions trading market［J］． China population，resources and environment，2012 ( S1 ) : 244 － 249．］ ［12］盛春光． 碳市场 EUA 与 CEＲ 期货价格变动关系的实证研究 ［J］． 经 济 数 学，2013 ( 4 ) : 38 － 44． ［SHENG Chunguang． An empirical study on the relationship between EUA and CEＲ futures price in carbon market［J］． Journal of quantitative economics，2013</w:t>
            </w:r>
          </w:p>
          <w:p>
            <w:pPr>
              <w:rPr>
                <w:rFonts w:hint="eastAsia" w:ascii="宋体" w:hAnsi="宋体" w:eastAsia="宋体" w:cs="宋体"/>
                <w:sz w:val="24"/>
                <w:szCs w:val="24"/>
              </w:rPr>
            </w:pPr>
            <w:r>
              <w:rPr>
                <w:rFonts w:ascii="宋体" w:hAnsi="宋体" w:eastAsia="宋体" w:cs="宋体"/>
                <w:sz w:val="24"/>
                <w:szCs w:val="24"/>
              </w:rPr>
              <w:t>( 4) : 38 － 44．］ ［13］朱帮助． 国际碳市场价格驱动力研究———以欧盟排放交易体系 为例［J］． 北京理工大学学报( 社会科学版) ，2014( 3) : 22 － 29． ［ZHU Bangzhu． Ｒesearch on the international carbon price driving factors: a case study of the European Union emission trading scheme ［J］． Journal of Beijing Institute of Technology ( social sciences edition) ，2014( 3) : 22 － 29．］ ［14］齐绍洲，赵鑫，谭秀杰． 基于 EEMD 模型的中国碳市场价格形成 机制研究［J］． 武汉大学学报( 哲学社会科学版) ，2015( 4) : 56 － 65． ［QI Shaozhou，ZHAO Xing，TAO Xiujie． A study on the formation mechanism of Chinese carbon market price based on EEMD model［J］． Wuhan University Journal( philosophy and social sciences) ，2015( 4) : 56 － 65．］ ［15］张跃军，魏一鸣． 国际碳期货价格的均值回归: 基于 EU ETS 的 实证分 析［J］． 系统工程理论与实践，2011 ( 2 ) : 214 － 220． ［ZHANG Yuejun，WEI Yiming． Interpreting the mean reversion of international carbon futures price: empirical evidence from the EU ETS［J］． Systems engineering － theory ＆ practice，2011( 2) : 214 － 220．］ ［16］史峰． Matlab 神经网络 43 个案例分析［M］． 北京: 北京航空航 天大学出版社，2013． ［SHI Feng． Matlab neural network analysis of 43 cases［M］． Beijing: Beihang University Press，2013．］ ［17］朱利恩·谢瓦利尔． 碳市场计量经济学分析［M］． 大连: 东北财 经 大 学 出 版 社， 2016． ［CHEVALLIEＲ J． Carbon market econometric analysis ［M］． Dalian: Dongbei University of Finance and Economics Press，2016．］ ［18］LIU H H，CHEN Y C． A study on the volatility spillovers，long memory effects and interactions between carbon and energy markets: the impacts of extreme weather［J］． Economic modelling，2013，35 ( 5) : 840 － 855．</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hint="eastAsia"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A02748"/>
    <w:multiLevelType w:val="multilevel"/>
    <w:tmpl w:val="64A02748"/>
    <w:lvl w:ilvl="0" w:tentative="0">
      <w:start w:val="1"/>
      <w:numFmt w:val="decimal"/>
      <w:lvlText w:val="第%1章"/>
      <w:lvlJc w:val="left"/>
      <w:pPr>
        <w:ind w:left="1182" w:hanging="9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B5DD7"/>
    <w:rsid w:val="102332CF"/>
    <w:rsid w:val="117D6C5B"/>
    <w:rsid w:val="1A044FB7"/>
    <w:rsid w:val="1AA9504F"/>
    <w:rsid w:val="1B203599"/>
    <w:rsid w:val="1DE12214"/>
    <w:rsid w:val="20DB69B5"/>
    <w:rsid w:val="2202080E"/>
    <w:rsid w:val="262E29CA"/>
    <w:rsid w:val="2FA15923"/>
    <w:rsid w:val="2FEA2AB4"/>
    <w:rsid w:val="32A02997"/>
    <w:rsid w:val="3373042D"/>
    <w:rsid w:val="3B295D79"/>
    <w:rsid w:val="4A6127DB"/>
    <w:rsid w:val="4BB452A9"/>
    <w:rsid w:val="52123278"/>
    <w:rsid w:val="5E161DC8"/>
    <w:rsid w:val="66120AA5"/>
    <w:rsid w:val="6754284C"/>
    <w:rsid w:val="6D2A5E7D"/>
    <w:rsid w:val="6FC667D8"/>
    <w:rsid w:val="710F094C"/>
    <w:rsid w:val="71CD1C8E"/>
    <w:rsid w:val="78791F33"/>
    <w:rsid w:val="7DBF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3</TotalTime>
  <ScaleCrop>false</ScaleCrop>
  <LinksUpToDate>false</LinksUpToDate>
  <CharactersWithSpaces>458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7yearing-CS</cp:lastModifiedBy>
  <dcterms:modified xsi:type="dcterms:W3CDTF">2021-07-27T14:37:55Z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D2E397DA8C6A4A55A9EF605276D1FB96</vt:lpwstr>
  </property>
</Properties>
</file>