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>
      <w:pPr>
        <w:pStyle w:val="style0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style105"/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rPr>
          <w:trHeight w:val="680" w:hRule="atLeast"/>
          <w:jc w:val="center"/>
        </w:trPr>
        <w:tc>
          <w:tcPr>
            <w:tcW w:w="236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61040809</w:t>
            </w:r>
          </w:p>
        </w:tc>
        <w:tc>
          <w:tcPr>
            <w:tcW w:w="1427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刘冬亮</w:t>
            </w:r>
          </w:p>
        </w:tc>
      </w:tr>
      <w:tr>
        <w:tblPrEx/>
        <w:trPr>
          <w:trHeight w:val="680" w:hRule="atLeast"/>
          <w:jc w:val="center"/>
        </w:trPr>
        <w:tc>
          <w:tcPr>
            <w:tcW w:w="236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企业经济学</w:t>
            </w:r>
          </w:p>
        </w:tc>
      </w:tr>
      <w:tr>
        <w:tblPrEx/>
        <w:trPr>
          <w:trHeight w:val="680" w:hRule="atLeast"/>
          <w:jc w:val="center"/>
        </w:trPr>
        <w:tc>
          <w:tcPr>
            <w:tcW w:w="236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13911280214</w:t>
            </w:r>
          </w:p>
        </w:tc>
        <w:tc>
          <w:tcPr>
            <w:tcW w:w="1427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13911280214@139.com</w:t>
            </w:r>
          </w:p>
        </w:tc>
      </w:tr>
      <w:tr>
        <w:tblPrEx/>
        <w:trPr>
          <w:trHeight w:val="680" w:hRule="atLeast"/>
          <w:jc w:val="center"/>
        </w:trPr>
        <w:tc>
          <w:tcPr>
            <w:tcW w:w="236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山西财经大学</w:t>
            </w:r>
          </w:p>
        </w:tc>
        <w:tc>
          <w:tcPr>
            <w:tcW w:w="1427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工商管理</w:t>
            </w:r>
          </w:p>
        </w:tc>
      </w:tr>
      <w:tr>
        <w:tblPrEx/>
        <w:trPr>
          <w:trHeight w:val="680" w:hRule="atLeast"/>
          <w:jc w:val="center"/>
        </w:trPr>
        <w:tc>
          <w:tcPr>
            <w:tcW w:w="236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北京橡胶工业研究设计院有限公司</w:t>
            </w:r>
          </w:p>
        </w:tc>
        <w:tc>
          <w:tcPr>
            <w:tcW w:w="1427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事业部总经理助理</w:t>
            </w:r>
          </w:p>
        </w:tc>
      </w:tr>
      <w:tr>
        <w:tblPrEx/>
        <w:trPr>
          <w:trHeight w:val="2120" w:hRule="atLeast"/>
          <w:jc w:val="center"/>
        </w:trPr>
        <w:tc>
          <w:tcPr>
            <w:tcW w:w="236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tcBorders/>
            <w:vAlign w:val="center"/>
          </w:tcPr>
          <w:p>
            <w:pPr>
              <w:pStyle w:val="style0"/>
              <w:ind w:firstLine="480" w:firstLineChars="20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刘冬亮</w:t>
            </w:r>
            <w:r>
              <w:rPr>
                <w:rFonts w:ascii="宋体" w:eastAsia="宋体" w:hAnsi="宋体"/>
                <w:sz w:val="24"/>
              </w:rPr>
              <w:t>，198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3</w:t>
            </w:r>
            <w:r>
              <w:rPr>
                <w:rFonts w:ascii="宋体" w:eastAsia="宋体" w:hAnsi="宋体"/>
                <w:sz w:val="24"/>
              </w:rPr>
              <w:t>出生，籍贯河北省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廊坊市</w:t>
            </w:r>
            <w:r>
              <w:rPr>
                <w:rFonts w:ascii="宋体" w:eastAsia="宋体" w:hAnsi="宋体"/>
                <w:sz w:val="24"/>
              </w:rPr>
              <w:t>，200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1</w:t>
            </w:r>
            <w:r>
              <w:rPr>
                <w:rFonts w:ascii="宋体" w:eastAsia="宋体" w:hAnsi="宋体"/>
                <w:sz w:val="24"/>
              </w:rPr>
              <w:t>-200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5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山西</w:t>
            </w:r>
            <w:r>
              <w:rPr>
                <w:rFonts w:ascii="宋体" w:eastAsia="宋体" w:hAnsi="宋体"/>
                <w:sz w:val="24"/>
              </w:rPr>
              <w:t>省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山西财经</w:t>
            </w:r>
            <w:r>
              <w:rPr>
                <w:rFonts w:ascii="宋体" w:eastAsia="宋体" w:hAnsi="宋体"/>
                <w:sz w:val="24"/>
              </w:rPr>
              <w:t>大学。</w:t>
            </w:r>
          </w:p>
          <w:p>
            <w:pPr>
              <w:pStyle w:val="style0"/>
              <w:ind w:left="0" w:leftChars="0" w:firstLine="458" w:firstLineChars="191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2</w:t>
            </w:r>
            <w:r>
              <w:rPr>
                <w:rFonts w:ascii="宋体" w:eastAsia="宋体" w:hAnsi="宋体" w:hint="default"/>
                <w:sz w:val="24"/>
              </w:rPr>
              <w:t>00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8</w:t>
            </w:r>
            <w:r>
              <w:rPr>
                <w:rFonts w:ascii="宋体" w:eastAsia="宋体" w:hAnsi="宋体" w:hint="default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7</w:t>
            </w:r>
            <w:r>
              <w:rPr>
                <w:rFonts w:ascii="宋体" w:eastAsia="宋体" w:hAnsi="宋体" w:hint="default"/>
                <w:sz w:val="24"/>
              </w:rPr>
              <w:t>月至今，就职于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北京橡胶工业研究设计院有限公司</w:t>
            </w:r>
            <w:r>
              <w:rPr>
                <w:rFonts w:ascii="宋体" w:eastAsia="宋体" w:hAnsi="宋体" w:hint="default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先后于公司制品事业部、轮胎事业部、天津分公司、先进制造与产业化事业部任职，目前</w:t>
            </w:r>
            <w:r>
              <w:rPr>
                <w:rFonts w:ascii="宋体" w:eastAsia="宋体" w:hAnsi="宋体" w:hint="default"/>
                <w:sz w:val="24"/>
              </w:rPr>
              <w:t>任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先进制造与产业化事业部总经理助理</w:t>
            </w:r>
            <w:r>
              <w:rPr>
                <w:rFonts w:ascii="宋体" w:eastAsia="宋体" w:hAnsi="宋体" w:hint="default"/>
                <w:sz w:val="24"/>
              </w:rPr>
              <w:t>。</w:t>
            </w:r>
          </w:p>
        </w:tc>
      </w:tr>
      <w:tr>
        <w:tblPrEx/>
        <w:trPr>
          <w:trHeight w:val="680" w:hRule="atLeast"/>
          <w:jc w:val="center"/>
        </w:trPr>
        <w:tc>
          <w:tcPr>
            <w:tcW w:w="236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</w:t>
            </w:r>
          </w:p>
        </w:tc>
        <w:tc>
          <w:tcPr>
            <w:tcW w:w="141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>
        <w:tblPrEx/>
        <w:trPr>
          <w:trHeight w:val="680" w:hRule="atLeast"/>
          <w:jc w:val="center"/>
        </w:trPr>
        <w:tc>
          <w:tcPr>
            <w:tcW w:w="236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</w:p>
        </w:tc>
      </w:tr>
      <w:tr>
        <w:tblPrEx/>
        <w:trPr>
          <w:trHeight w:val="680" w:hRule="atLeast"/>
          <w:jc w:val="center"/>
        </w:trPr>
        <w:tc>
          <w:tcPr>
            <w:tcW w:w="236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>
        <w:tblPrEx/>
        <w:trPr>
          <w:trHeight w:val="5223" w:hRule="atLeast"/>
          <w:jc w:val="center"/>
        </w:trPr>
        <w:tc>
          <w:tcPr>
            <w:tcW w:w="2361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</w:p>
        </w:tc>
      </w:tr>
    </w:tbl>
    <w:p>
      <w:pPr>
        <w:pStyle w:val="style0"/>
        <w:rPr/>
      </w:pPr>
    </w:p>
    <w:tbl>
      <w:tblPr>
        <w:tblStyle w:val="style105"/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rPr>
          <w:trHeight w:val="680" w:hRule="atLeast"/>
          <w:jc w:val="center"/>
        </w:trPr>
        <w:tc>
          <w:tcPr>
            <w:tcW w:w="236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tcBorders/>
            <w:vAlign w:val="center"/>
          </w:tcPr>
          <w:p>
            <w:pPr>
              <w:pStyle w:val="style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企业科研院所改革与企业绩效分析</w:t>
            </w:r>
          </w:p>
        </w:tc>
      </w:tr>
      <w:tr>
        <w:tblPrEx/>
        <w:trPr>
          <w:trHeight w:val="2560" w:hRule="atLeast"/>
          <w:jc w:val="center"/>
        </w:trPr>
        <w:tc>
          <w:tcPr>
            <w:tcW w:w="236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tcBorders/>
            <w:vAlign w:val="center"/>
          </w:tcPr>
          <w:p>
            <w:pPr>
              <w:pStyle w:val="style0"/>
              <w:ind w:firstLine="480" w:firstLineChars="20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在各行各业，企业因自身发展需要，培育自己的科研院所，逐渐成为主流。科研院所为企业的发展提供源源不断的动力和新鲜血液，在企业发展过程中起到十分重要的作用，企业的发展又激励科研院所不断创新。</w:t>
            </w:r>
          </w:p>
          <w:p>
            <w:pPr>
              <w:pStyle w:val="style0"/>
              <w:ind w:firstLine="480" w:firstLineChars="20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科学至上。加快企业科研院所技术孵化，使技术快速转化为市场，提高企业生产力水平以及企业经营效益，是企业不断的追求。在市场激烈竞争中，同样存在企业科研院所无法平衡经营与创新关系，至科研院所乃至企业发展出现瓶颈或危机。如何激发企业科研院所创新活力，使科研院所保证持续高效的成果输出，这就需要对企业科研院所进行一系列改革。</w:t>
            </w:r>
          </w:p>
          <w:p>
            <w:pPr>
              <w:pStyle w:val="style0"/>
              <w:ind w:firstLine="480" w:firstLineChars="20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企业科研院所改革，要优化管理体制、完善激励政策、加快发展新型研发机构。企业科研院所改革要在市场经营和企业创新平台间寻求平衡，即是企业对所属科研院所改革的基本诉求，也是科研院所改革能否在企业层面通过的评判基础。</w:t>
            </w:r>
          </w:p>
          <w:p>
            <w:pPr>
              <w:pStyle w:val="style0"/>
              <w:ind w:firstLine="480" w:firstLineChars="20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本文将研究讨论企业科研院所改革的问题，重点关注企业科研院所改革对企业绩效的影响，</w:t>
            </w:r>
            <w:r>
              <w:rPr>
                <w:rFonts w:ascii="宋体" w:cs="Times New Roman" w:eastAsia="宋体" w:hAnsi="宋体"/>
                <w:sz w:val="24"/>
                <w:szCs w:val="24"/>
              </w:rPr>
              <w:t>采用实证分析的方法，对</w:t>
            </w:r>
            <w:r>
              <w:rPr>
                <w:rFonts w:ascii="宋体" w:cs="Times New Roman" w:eastAsia="宋体" w:hAnsi="宋体" w:hint="eastAsia"/>
                <w:sz w:val="24"/>
                <w:szCs w:val="24"/>
                <w:lang w:eastAsia="zh-CN"/>
              </w:rPr>
              <w:t>样本</w:t>
            </w:r>
            <w:r>
              <w:rPr>
                <w:rFonts w:ascii="宋体" w:cs="Times New Roman" w:eastAsia="宋体" w:hAnsi="宋体"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cs="Times New Roman" w:eastAsia="宋体" w:hAnsi="宋体" w:hint="eastAsia"/>
                <w:sz w:val="24"/>
                <w:szCs w:val="24"/>
                <w:lang w:eastAsia="zh-CN"/>
              </w:rPr>
              <w:t>企业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下属科研院所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改革</w:t>
            </w:r>
            <w:r>
              <w:rPr>
                <w:rFonts w:ascii="宋体" w:cs="Times New Roman" w:eastAsia="宋体" w:hAnsi="宋体"/>
                <w:sz w:val="24"/>
                <w:szCs w:val="24"/>
              </w:rPr>
              <w:t>及其效果进行分析</w:t>
            </w:r>
            <w:r>
              <w:rPr>
                <w:rFonts w:ascii="宋体" w:cs="Times New Roman" w:eastAsia="宋体" w:hAnsi="宋体" w:hint="eastAsia"/>
                <w:sz w:val="24"/>
                <w:szCs w:val="24"/>
                <w:lang w:eastAsia="zh-CN"/>
              </w:rPr>
              <w:t>，得</w:t>
            </w:r>
            <w:bookmarkStart w:id="0" w:name="_GoBack"/>
            <w:bookmarkEnd w:id="0"/>
            <w:r>
              <w:rPr>
                <w:rFonts w:ascii="宋体" w:cs="Times New Roman" w:eastAsia="宋体" w:hAnsi="宋体" w:hint="eastAsia"/>
                <w:sz w:val="24"/>
                <w:szCs w:val="24"/>
                <w:lang w:eastAsia="zh-CN"/>
              </w:rPr>
              <w:t>出结论并提出相关建议。</w:t>
            </w:r>
          </w:p>
        </w:tc>
      </w:tr>
      <w:tr>
        <w:tblPrEx/>
        <w:trPr>
          <w:trHeight w:val="680" w:hRule="atLeast"/>
          <w:jc w:val="center"/>
        </w:trPr>
        <w:tc>
          <w:tcPr>
            <w:tcW w:w="236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tcBorders/>
            <w:vAlign w:val="center"/>
          </w:tcPr>
          <w:p>
            <w:pPr>
              <w:pStyle w:val="style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企业科研院所改革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对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企业绩效影响研究</w:t>
            </w:r>
          </w:p>
          <w:p>
            <w:pPr>
              <w:pStyle w:val="style0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——基于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C企业下属科研院所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数据的实证分析</w:t>
            </w:r>
          </w:p>
        </w:tc>
      </w:tr>
      <w:tr>
        <w:tblPrEx/>
        <w:trPr>
          <w:trHeight w:val="6386" w:hRule="atLeast"/>
          <w:jc w:val="center"/>
        </w:trPr>
        <w:tc>
          <w:tcPr>
            <w:tcW w:w="236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tcBorders/>
            <w:vAlign w:val="center"/>
          </w:tcPr>
          <w:p>
            <w:pPr>
              <w:pStyle w:val="style0"/>
              <w:numPr>
                <w:ilvl w:val="0"/>
                <w:numId w:val="1"/>
              </w:num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val="en-US" w:eastAsia="zh-CN"/>
              </w:rPr>
              <w:t>绪论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1.1研究背景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1.2本文的研究意义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1.3本文的研究方法和内容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1.4本文的创新之处与不足</w:t>
            </w:r>
          </w:p>
          <w:p>
            <w:pPr>
              <w:pStyle w:val="style0"/>
              <w:numPr>
                <w:ilvl w:val="0"/>
                <w:numId w:val="1"/>
              </w:numPr>
              <w:ind w:left="0" w:leftChars="0" w:firstLine="0" w:firstLine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val="en-US" w:eastAsia="zh-CN"/>
              </w:rPr>
              <w:t>文献综述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2.1企业绩效评价及影响因素相关文献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2.2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企业科研院所改革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相关文献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2.2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企业科研院所改革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对企业绩效影响的相关文献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2.4文献评述</w:t>
            </w:r>
          </w:p>
          <w:p>
            <w:pPr>
              <w:pStyle w:val="style0"/>
              <w:numPr>
                <w:ilvl w:val="0"/>
                <w:numId w:val="1"/>
              </w:numPr>
              <w:ind w:left="0" w:leftChars="0" w:firstLine="0" w:firstLine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val="en-US" w:eastAsia="zh-CN"/>
              </w:rPr>
              <w:t>理论基础与研究假设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3.1理论基础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3.2研究假设提出</w:t>
            </w:r>
          </w:p>
          <w:p>
            <w:pPr>
              <w:pStyle w:val="style0"/>
              <w:numPr>
                <w:ilvl w:val="0"/>
                <w:numId w:val="1"/>
              </w:numPr>
              <w:ind w:left="0" w:leftChars="0" w:firstLine="0" w:firstLineChars="0"/>
              <w:rPr>
                <w:rFonts w:ascii="宋体" w:eastAsia="宋体" w:hAnsi="宋体" w:hint="default"/>
                <w:b/>
                <w:bCs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eastAsia="zh-CN"/>
              </w:rPr>
              <w:t>企业科研院所改革对企业绩效影响实证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4.1C企业科研院所样本选取与数据来源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4.2关键变量定义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4.3研究设计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4.4实证数据与结果</w:t>
            </w:r>
          </w:p>
          <w:p>
            <w:pPr>
              <w:pStyle w:val="style0"/>
              <w:numPr>
                <w:ilvl w:val="0"/>
                <w:numId w:val="1"/>
              </w:numPr>
              <w:ind w:left="0" w:leftChars="0" w:firstLine="0" w:firstLineChars="0"/>
              <w:rPr>
                <w:rFonts w:ascii="宋体" w:eastAsia="宋体" w:hAnsi="宋体" w:hint="eastAsia"/>
                <w:b/>
                <w:bCs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lang w:val="en-US" w:eastAsia="zh-CN"/>
              </w:rPr>
              <w:t>研究结论及建议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5.1研究结论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5.2研究建议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ascii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5.3研究展望</w:t>
            </w:r>
          </w:p>
        </w:tc>
      </w:tr>
      <w:tr>
        <w:tblPrEx/>
        <w:trPr>
          <w:trHeight w:val="2683" w:hRule="atLeast"/>
          <w:jc w:val="center"/>
        </w:trPr>
        <w:tc>
          <w:tcPr>
            <w:tcW w:w="236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tcBorders/>
            <w:vAlign w:val="center"/>
          </w:tcPr>
          <w:p>
            <w:pPr>
              <w:pStyle w:val="style0"/>
              <w:ind w:left="0" w:leftChars="0" w:firstLine="0" w:firstLineChars="0"/>
              <w:jc w:val="left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《医疗器械企业的营销变革研究——以ZS公司为例》</w:t>
            </w:r>
          </w:p>
          <w:p>
            <w:pPr>
              <w:pStyle w:val="style0"/>
              <w:ind w:left="0" w:leftChars="0" w:firstLine="0" w:firstLineChars="0"/>
              <w:jc w:val="left"/>
              <w:rPr>
                <w:rFonts w:ascii="宋体" w:eastAsia="宋体" w:hAnsi="宋体" w:hint="eastAsia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《国有企业员工激励机制问题的研究——以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F航运公司为例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》</w:t>
            </w:r>
          </w:p>
        </w:tc>
      </w:tr>
    </w:tbl>
    <w:p>
      <w:pPr>
        <w:pStyle w:val="style0"/>
        <w:ind w:firstLine="422" w:firstLineChars="200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>
      <w:pPr>
        <w:pStyle w:val="style0"/>
        <w:ind w:firstLine="422" w:firstLineChars="20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 w:orient="portrait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3D82708"/>
    <w:lvl w:ilvl="0">
      <w:start w:val="1"/>
      <w:numFmt w:val="decimal"/>
      <w:suff w:val="space"/>
      <w:lvlText w:val="第%1章"/>
      <w:lvlJc w:val="left"/>
      <w:pPr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Words>1194</Words>
  <Pages>2</Pages>
  <Characters>1285</Characters>
  <Application>WPS Office</Application>
  <DocSecurity>0</DocSecurity>
  <Paragraphs>97</Paragraphs>
  <ScaleCrop>false</ScaleCrop>
  <LinksUpToDate>false</LinksUpToDate>
  <CharactersWithSpaces>1291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2021-01-21T00:38:00Z</dcterms:created>
  <dc:creator>Qi Hang</dc:creator>
  <lastModifiedBy>meizu 17</lastModifiedBy>
  <dcterms:modified xsi:type="dcterms:W3CDTF">2021-06-18T13:55:27Z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3c1ffec75d2040f7a7f159c90379267a</vt:lpwstr>
  </property>
</Properties>
</file>