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71040060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孙涵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江苏南京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17512509718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396692609@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天津职业技术师范大学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中建材信息技术股份有限公司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区域风控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孙涵</w:t>
            </w:r>
            <w:r>
              <w:rPr>
                <w:rFonts w:ascii="宋体" w:hAnsi="宋体" w:eastAsia="宋体"/>
                <w:sz w:val="24"/>
              </w:rPr>
              <w:t>，1992出生，籍贯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北京市</w:t>
            </w:r>
            <w:r>
              <w:rPr>
                <w:rFonts w:ascii="宋体" w:hAnsi="宋体" w:eastAsia="宋体"/>
                <w:sz w:val="24"/>
              </w:rPr>
              <w:t>，2010-2014年就读于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天津职业技术师范大学金融学专业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2014年7月-2020年12月就职于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渤海银行股份有限公司，任营运岗位</w:t>
            </w:r>
            <w:r>
              <w:rPr>
                <w:rFonts w:hint="default" w:ascii="宋体" w:hAnsi="宋体" w:eastAsia="宋体"/>
                <w:sz w:val="24"/>
              </w:rPr>
              <w:t>；2021年1月-至今，就职于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中建材信息技术股份有限公司，任区域风控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数字货币、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国际资本流动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、DCEP、Libra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国际资本流动（ICF），即资本在不同国家或地区之间作单向、双向或多向流动。其对输入国及输出国的政治、经济等多方面均有极大的影响，并与国际性金融危机的爆发有着密不可分的联系。从上世纪80年代起，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新兴经济体的繁荣与发展，对国际资本的流动产生了新的影响，呈现出新的发展趋势。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近年来，为了提高跨境支付效率，简便支付方法，通过新型技术手段科技手段提高国际贸易往来效率，减少贸易壁垒和障碍，解决全球金融基础设施的问题。但各国央行、各经济组织对于数字货币看法不一，其是否会对各国间资本流动造成冲击，会否产生新型经济危机，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本文将进行研究。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数字货币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的流通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对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国际资本流动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一、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引言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1.1 研究背景及意义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 1.1.1研究背景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 1.1.2研究意义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1.2 论文结构和研究方法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1.3 创新与不足</w:t>
            </w:r>
          </w:p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二、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国际资本流动的概述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2.1 国际资本流动的定义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2.2 国际资本流动的动因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三、数字货币的概述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3.1 数字货币的诞生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3.2 数字货币的最新发展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3.3 我国法定DCEP货币与LIBRA的比较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数字货币流通与国际资本流动实证分析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4.1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变量选取与描述：选取非现金支付交易额（UP）代表数字货币投放量，选取外汇储备（外汇占款）作为国际资本流动代表性变量。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4.2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理论模型的构建：数字货币流通会对国际资本流动产生影响。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4.2.1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单位根检验及Granger非因果关系检验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4.2.2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VAR模型单位根检验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4.2.3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脉冲影响分析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4.2.4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方差分解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4.3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实证分析结论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五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、数字货币对于国际资本流动的影响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</w:t>
            </w:r>
            <w:r>
              <w:rPr>
                <w:rFonts w:hint="default" w:ascii="宋体" w:hAnsi="宋体" w:eastAsia="宋体"/>
                <w:sz w:val="24"/>
              </w:rPr>
              <w:t>5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.1 有利影响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 xml:space="preserve"> </w:t>
            </w:r>
            <w:r>
              <w:rPr>
                <w:rFonts w:hint="default" w:ascii="宋体" w:hAnsi="宋体" w:eastAsia="宋体"/>
                <w:sz w:val="24"/>
              </w:rPr>
              <w:t>5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.2 不利影响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六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、对于数字货币引起的国际资本流动我国的应对策略</w:t>
            </w:r>
          </w:p>
          <w:p>
            <w:p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七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结束语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八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[1]张荣峰. 国际资本流动与银行稳定[J]. 国际金融研究,2007,02:66-74.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[2]田素华,徐明东. 国际资本流动对东道国货币政策的抵消效应——基于四种国际资本流动形式的讨论[J]. 数量经济技术经济研究,2008,12:70-86.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[3]董延春. 国际资本流动背景下我国金融安全问题研究[D].山东大学,2012.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  <w:t>[4]朱嘉明：数字货币——从边缘到中心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.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  <w:t>[5]数字货币对资金流动的影响：2020年10月IMF《跨境支付的数字货币：宏观金融的影响》报告解读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.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  <w:t>[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/>
              </w:rPr>
              <w:t>数字货币模式对货币供求的影响———以央行 DCEP 和 Libra 为例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，苑秉纪，上海大学经济学院，200072，上海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.</w:t>
            </w:r>
            <w:bookmarkStart w:id="0" w:name="_GoBack"/>
            <w:bookmarkEnd w:id="0"/>
          </w:p>
        </w:tc>
      </w:tr>
    </w:tbl>
    <w:p>
      <w:pPr>
        <w:ind w:firstLine="420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0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新宋体">
    <w:altName w:val="方正书宋_GBK"/>
    <w:panose1 w:val="02010609030000010101"/>
    <w:charset w:val="00"/>
    <w:family w:val="modern"/>
    <w:pitch w:val="default"/>
    <w:sig w:usb0="00000000" w:usb1="0000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6DD78"/>
    <w:multiLevelType w:val="singleLevel"/>
    <w:tmpl w:val="60D6DD7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B4B93C"/>
    <w:rsid w:val="9BBFD927"/>
    <w:rsid w:val="BBFA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1065</Words>
  <Characters>1226</Characters>
  <Paragraphs>94</Paragraphs>
  <ScaleCrop>false</ScaleCrop>
  <LinksUpToDate>false</LinksUpToDate>
  <CharactersWithSpaces>1261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2021-01-22T00:38:00Z</dcterms:created>
  <dc:creator>Qi Hang</dc:creator>
  <cp:lastModifiedBy>Iris</cp:lastModifiedBy>
  <dcterms:modified xsi:type="dcterms:W3CDTF">2021-07-10T23:24:00Z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50042cc69b524c7fa4650b7dcbe47e9d</vt:lpwstr>
  </property>
</Properties>
</file>