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40290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13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261609917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827668771@qq.com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暨南大学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新闻学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云南水务投资股份有限公司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证券事务主管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张昱</w:t>
            </w:r>
            <w:r>
              <w:rPr>
                <w:rFonts w:ascii="宋体" w:hAnsi="宋体" w:eastAsia="宋体"/>
                <w:sz w:val="24"/>
              </w:rPr>
              <w:t>，19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92年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云南大理</w:t>
            </w:r>
            <w:r>
              <w:rPr>
                <w:rFonts w:ascii="宋体" w:hAnsi="宋体" w:eastAsia="宋体"/>
                <w:sz w:val="24"/>
              </w:rPr>
              <w:t>，20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14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暨南大学新闻与传播学院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14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24"/>
              </w:rPr>
              <w:t>月-20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民生证券股份有限公司董事会办公室，任证券事务</w:t>
            </w:r>
            <w:r>
              <w:rPr>
                <w:rFonts w:hint="default" w:ascii="宋体" w:hAnsi="宋体" w:eastAsia="宋体"/>
                <w:sz w:val="24"/>
              </w:rPr>
              <w:t>岗位；201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  <w:r>
              <w:rPr>
                <w:rFonts w:hint="default" w:ascii="宋体" w:hAnsi="宋体" w:eastAsia="宋体"/>
                <w:sz w:val="24"/>
              </w:rPr>
              <w:t>月-至今，就职于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云南水务投资股份有限公司证券部</w:t>
            </w:r>
            <w:r>
              <w:rPr>
                <w:rFonts w:hint="default"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证券事务主管。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5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研究环保行业企业引入战略投资者对其绩效的影响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国家“十四五”规划中明确传递了持续加强生态环境保护的信号，环境保护及环保行业的发展是生态环境建设的重点工作。未来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我国环保产业市场需求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将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进一步释放，环保产业规模继续保持较快增长，全行业工艺和技术装备水平稳步提升、创新模式深入推进，产业结构不断完善，行业格局逐步优化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环保产业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也将赢来新的机遇与挑战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。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自2018年以来，环保行业新进场者增多，不少环保企业引入战略投资者，对其提供财务、技术、战略、影响力方面的支持，央企、国企、民企之间的联合正在进行。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本人拟通过对近年来引入战略投资者的环保企业引战的动因、类型、方案进行收集，从引战后5年内其公司治理、经营机制、市场效应、财务绩效等方便后3-5年的绩效情况进行分析，从而对环保行业引入战略投资者提出若干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引入战略投资者对环保企业的绩效影响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引言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研究背景与意义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研究意义与创新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研究方法与结构安排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文献综述与理论研究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企业引入战略投资者动因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企业引入战略投资者路径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环保行业企业引入战略投资者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战略投资者与企业绩效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相关理论及概念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文献评述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引入战略投资者与环保企业绩效实证分析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数据来源与样本选择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计量模型与变量说明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回归分析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实证检验及结果分析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研究结论及相关政策建议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研究结论</w:t>
            </w:r>
          </w:p>
          <w:p>
            <w:pPr>
              <w:numPr>
                <w:ilvl w:val="0"/>
                <w:numId w:val="5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展望与建议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国有企业混合所有制改革中绩效评价 ——以中国联通为例 上海财经大学 刘菲菲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战略型财务投资人对国企混改的影响 ——以重庆钢铁为例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上海财经大学 刘依萍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重污染企业环保投入_技术创新与财务绩效关系研究_王颖怡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中央环保督察与污染企业绩效的相互关系实证研究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陈宇超  裴庚辛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财政补贴、税收优惠对环保企业成长性的影响研究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上海财经大学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孟璐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基于财务视角的水环境治理项目经济评价问题的研究 ——以SG环保公司为例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暨南大学 严声乐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中央环保督察、产权性质与企业环境治理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卫琪琛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WD环保公司竞争战略研究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华南理工大学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朱祯贵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启迪环境业务转型背景下财务战略研究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北京交通大学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王浩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环境规制、环保投资与企业竞争力研究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北方工业大学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王彩铃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PPP概念环保上市企业运营绩效研究 ——以碧水源为例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暨南大学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向琬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基于产业生命周期的环保产业发展研究及在中国的应用_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清华大学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郝思文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E665C"/>
    <w:multiLevelType w:val="singleLevel"/>
    <w:tmpl w:val="9F8E665C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AC05DF26"/>
    <w:multiLevelType w:val="singleLevel"/>
    <w:tmpl w:val="AC05DF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3125B0"/>
    <w:multiLevelType w:val="singleLevel"/>
    <w:tmpl w:val="B43125B0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3">
    <w:nsid w:val="20E8408C"/>
    <w:multiLevelType w:val="singleLevel"/>
    <w:tmpl w:val="20E8408C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4">
    <w:nsid w:val="4F13C681"/>
    <w:multiLevelType w:val="singleLevel"/>
    <w:tmpl w:val="4F13C681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5">
    <w:nsid w:val="61D8FD2F"/>
    <w:multiLevelType w:val="singleLevel"/>
    <w:tmpl w:val="61D8FD2F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45A40F87"/>
    <w:rsid w:val="71B111BA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30</TotalTime>
  <ScaleCrop>false</ScaleCrop>
  <LinksUpToDate>false</LinksUpToDate>
  <CharactersWithSpaces>471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YNSW</cp:lastModifiedBy>
  <dcterms:modified xsi:type="dcterms:W3CDTF">2021-07-03T09:21:52Z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