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6"/>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1"/>
        <w:gridCol w:w="1283"/>
        <w:gridCol w:w="1086"/>
        <w:gridCol w:w="577"/>
        <w:gridCol w:w="841"/>
        <w:gridCol w:w="586"/>
        <w:gridCol w:w="548"/>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161"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资格卡号</w:t>
            </w:r>
          </w:p>
        </w:tc>
        <w:tc>
          <w:tcPr>
            <w:tcW w:w="2946" w:type="dxa"/>
            <w:gridSpan w:val="3"/>
            <w:vAlign w:val="center"/>
          </w:tcPr>
          <w:p>
            <w:pPr>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71040341</w:t>
            </w:r>
          </w:p>
        </w:tc>
        <w:tc>
          <w:tcPr>
            <w:tcW w:w="1427" w:type="dxa"/>
            <w:gridSpan w:val="2"/>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姓    名</w:t>
            </w:r>
          </w:p>
        </w:tc>
        <w:tc>
          <w:tcPr>
            <w:tcW w:w="3035" w:type="dxa"/>
            <w:gridSpan w:val="3"/>
            <w:vAlign w:val="center"/>
          </w:tcPr>
          <w:p>
            <w:pPr>
              <w:jc w:val="cente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t>朱伟泉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161"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所在地区</w:t>
            </w:r>
          </w:p>
        </w:tc>
        <w:tc>
          <w:tcPr>
            <w:tcW w:w="2946" w:type="dxa"/>
            <w:gridSpan w:val="3"/>
            <w:vAlign w:val="center"/>
          </w:tcPr>
          <w:p>
            <w:pPr>
              <w:jc w:val="cente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t>北京</w:t>
            </w:r>
          </w:p>
        </w:tc>
        <w:tc>
          <w:tcPr>
            <w:tcW w:w="1427" w:type="dxa"/>
            <w:gridSpan w:val="2"/>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申硕专业</w:t>
            </w:r>
          </w:p>
        </w:tc>
        <w:tc>
          <w:tcPr>
            <w:tcW w:w="3035" w:type="dxa"/>
            <w:gridSpan w:val="3"/>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161"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联系电话</w:t>
            </w:r>
          </w:p>
        </w:tc>
        <w:tc>
          <w:tcPr>
            <w:tcW w:w="2946" w:type="dxa"/>
            <w:gridSpan w:val="3"/>
            <w:vAlign w:val="center"/>
          </w:tcPr>
          <w:p>
            <w:pPr>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13401163299</w:t>
            </w:r>
          </w:p>
        </w:tc>
        <w:tc>
          <w:tcPr>
            <w:tcW w:w="1427" w:type="dxa"/>
            <w:gridSpan w:val="2"/>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电子邮箱</w:t>
            </w:r>
          </w:p>
        </w:tc>
        <w:tc>
          <w:tcPr>
            <w:tcW w:w="3035" w:type="dxa"/>
            <w:gridSpan w:val="3"/>
            <w:vAlign w:val="center"/>
          </w:tcPr>
          <w:p>
            <w:pPr>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282530518@.com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161"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本科毕业院校</w:t>
            </w:r>
          </w:p>
        </w:tc>
        <w:tc>
          <w:tcPr>
            <w:tcW w:w="2946" w:type="dxa"/>
            <w:gridSpan w:val="3"/>
            <w:vAlign w:val="center"/>
          </w:tcPr>
          <w:p>
            <w:pPr>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天津工业大学</w:t>
            </w:r>
          </w:p>
        </w:tc>
        <w:tc>
          <w:tcPr>
            <w:tcW w:w="1427" w:type="dxa"/>
            <w:gridSpan w:val="2"/>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本科专业</w:t>
            </w:r>
          </w:p>
        </w:tc>
        <w:tc>
          <w:tcPr>
            <w:tcW w:w="3035" w:type="dxa"/>
            <w:gridSpan w:val="3"/>
            <w:vAlign w:val="center"/>
          </w:tcPr>
          <w:p>
            <w:pPr>
              <w:jc w:val="cente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t>会计学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161"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工作单位</w:t>
            </w:r>
          </w:p>
        </w:tc>
        <w:tc>
          <w:tcPr>
            <w:tcW w:w="2946" w:type="dxa"/>
            <w:gridSpan w:val="3"/>
            <w:vAlign w:val="center"/>
          </w:tcPr>
          <w:p>
            <w:pPr>
              <w:jc w:val="cente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t>中电建路桥集团有限公司</w:t>
            </w:r>
          </w:p>
        </w:tc>
        <w:tc>
          <w:tcPr>
            <w:tcW w:w="1427" w:type="dxa"/>
            <w:gridSpan w:val="2"/>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职  务</w:t>
            </w:r>
          </w:p>
        </w:tc>
        <w:tc>
          <w:tcPr>
            <w:tcW w:w="3035" w:type="dxa"/>
            <w:gridSpan w:val="3"/>
            <w:vAlign w:val="center"/>
          </w:tcPr>
          <w:p>
            <w:pPr>
              <w:jc w:val="cente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t>副科长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161"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个人简介和</w:t>
            </w:r>
          </w:p>
          <w:p>
            <w:pPr>
              <w:jc w:val="center"/>
              <w:rPr>
                <w:rFonts w:hint="default" w:ascii="Times New Roman" w:hAnsi="Times New Roman" w:eastAsia="宋体" w:cs="Times New Roman"/>
                <w:sz w:val="24"/>
              </w:rPr>
            </w:pPr>
            <w:r>
              <w:rPr>
                <w:rFonts w:hint="default" w:ascii="Times New Roman" w:hAnsi="Times New Roman" w:eastAsia="宋体" w:cs="Times New Roman"/>
                <w:sz w:val="24"/>
              </w:rPr>
              <w:t>工作经历</w:t>
            </w:r>
          </w:p>
        </w:tc>
        <w:tc>
          <w:tcPr>
            <w:tcW w:w="7408" w:type="dxa"/>
            <w:gridSpan w:val="8"/>
            <w:vAlign w:val="center"/>
          </w:tcPr>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朱伟泉，男，36岁，江西余干人。2007年7月毕业于天津工业大学，同年参加工作，先后在北京市海淀区属国有企业和大型建筑央企从事财务工作，目前在中电建路桥集团有限公司担任财务副科长，主要负责资产交易、股权投资、经营业绩考核等国有资本</w:t>
            </w:r>
            <w:r>
              <w:rPr>
                <w:rFonts w:hint="eastAsia" w:ascii="Times New Roman" w:hAnsi="Times New Roman" w:eastAsia="宋体" w:cs="Times New Roman"/>
                <w:sz w:val="24"/>
                <w:lang w:val="en-US" w:eastAsia="zh-CN"/>
              </w:rPr>
              <w:t>及产权</w:t>
            </w:r>
            <w:r>
              <w:rPr>
                <w:rFonts w:hint="default" w:ascii="Times New Roman" w:hAnsi="Times New Roman" w:eastAsia="宋体" w:cs="Times New Roman"/>
                <w:sz w:val="24"/>
                <w:lang w:val="en-US" w:eastAsia="zh-CN"/>
              </w:rPr>
              <w:t>管理。</w:t>
            </w:r>
          </w:p>
          <w:p>
            <w:pPr>
              <w:rPr>
                <w:rFonts w:hint="default" w:ascii="Times New Roman" w:hAnsi="Times New Roman" w:eastAsia="宋体" w:cs="Times New Roman"/>
                <w:sz w:val="24"/>
                <w:lang w:val="en-US" w:eastAsia="zh-CN"/>
              </w:rPr>
            </w:pP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主要工作经历：</w:t>
            </w: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2007.07——2009.05  北京实创科技园经营服务有限公司 会计</w:t>
            </w: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2009.05——2014.05  中国水电建设集团国际工程有限公司 会计</w:t>
            </w: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2014.06——2014.09  中电建路桥集团有限公司 财务主管</w:t>
            </w: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2014.09——2016.06  中国电建澳大利亚发展有限公司 财务副经理</w:t>
            </w:r>
          </w:p>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2016.06——         中电建路桥集团有限公司 副处长（副科长）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161"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科研成果</w:t>
            </w:r>
          </w:p>
        </w:tc>
        <w:tc>
          <w:tcPr>
            <w:tcW w:w="1283"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是否</w:t>
            </w:r>
          </w:p>
          <w:p>
            <w:pPr>
              <w:jc w:val="center"/>
              <w:rPr>
                <w:rFonts w:hint="default" w:ascii="Times New Roman" w:hAnsi="Times New Roman" w:eastAsia="宋体" w:cs="Times New Roman"/>
                <w:sz w:val="24"/>
              </w:rPr>
            </w:pPr>
            <w:r>
              <w:rPr>
                <w:rFonts w:hint="default" w:ascii="Times New Roman" w:hAnsi="Times New Roman" w:eastAsia="宋体" w:cs="Times New Roman"/>
                <w:sz w:val="24"/>
              </w:rPr>
              <w:t>发表</w:t>
            </w:r>
          </w:p>
        </w:tc>
        <w:tc>
          <w:tcPr>
            <w:tcW w:w="1086"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是</w:t>
            </w:r>
          </w:p>
        </w:tc>
        <w:tc>
          <w:tcPr>
            <w:tcW w:w="1418" w:type="dxa"/>
            <w:gridSpan w:val="2"/>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是否</w:t>
            </w:r>
          </w:p>
          <w:p>
            <w:pPr>
              <w:jc w:val="center"/>
              <w:rPr>
                <w:rFonts w:hint="default" w:ascii="Times New Roman" w:hAnsi="Times New Roman" w:eastAsia="宋体" w:cs="Times New Roman"/>
                <w:sz w:val="24"/>
              </w:rPr>
            </w:pPr>
            <w:r>
              <w:rPr>
                <w:rFonts w:hint="default" w:ascii="Times New Roman" w:hAnsi="Times New Roman" w:eastAsia="宋体" w:cs="Times New Roman"/>
                <w:sz w:val="24"/>
              </w:rPr>
              <w:t>第一作者</w:t>
            </w:r>
          </w:p>
        </w:tc>
        <w:tc>
          <w:tcPr>
            <w:tcW w:w="1134" w:type="dxa"/>
            <w:gridSpan w:val="2"/>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是</w:t>
            </w:r>
          </w:p>
        </w:tc>
        <w:tc>
          <w:tcPr>
            <w:tcW w:w="992"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发表</w:t>
            </w:r>
          </w:p>
          <w:p>
            <w:pPr>
              <w:jc w:val="center"/>
              <w:rPr>
                <w:rFonts w:hint="default" w:ascii="Times New Roman" w:hAnsi="Times New Roman" w:eastAsia="宋体" w:cs="Times New Roman"/>
                <w:sz w:val="24"/>
              </w:rPr>
            </w:pPr>
            <w:r>
              <w:rPr>
                <w:rFonts w:hint="default" w:ascii="Times New Roman" w:hAnsi="Times New Roman" w:eastAsia="宋体" w:cs="Times New Roman"/>
                <w:sz w:val="24"/>
              </w:rPr>
              <w:t>字数</w:t>
            </w:r>
          </w:p>
        </w:tc>
        <w:tc>
          <w:tcPr>
            <w:tcW w:w="1495" w:type="dxa"/>
            <w:vAlign w:val="center"/>
          </w:tcPr>
          <w:p>
            <w:pPr>
              <w:jc w:val="cente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3510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161"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发表文章题目</w:t>
            </w:r>
          </w:p>
        </w:tc>
        <w:tc>
          <w:tcPr>
            <w:tcW w:w="7408" w:type="dxa"/>
            <w:gridSpan w:val="8"/>
            <w:vAlign w:val="center"/>
          </w:tcPr>
          <w:p>
            <w:pPr>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t>经济发展方式转变与企业管理创新探究实践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161"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发表文章刊物</w:t>
            </w:r>
          </w:p>
        </w:tc>
        <w:tc>
          <w:tcPr>
            <w:tcW w:w="7408" w:type="dxa"/>
            <w:gridSpan w:val="8"/>
            <w:vAlign w:val="center"/>
          </w:tcPr>
          <w:p>
            <w:pPr>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eastAsia="zh-CN"/>
              </w:rPr>
              <w:t>《中文科技期刊数据库（全文版）经济管理》（</w:t>
            </w:r>
            <w:r>
              <w:rPr>
                <w:rFonts w:hint="default" w:ascii="Times New Roman" w:hAnsi="Times New Roman" w:eastAsia="宋体" w:cs="Times New Roman"/>
                <w:sz w:val="24"/>
                <w:lang w:val="en-US" w:eastAsia="zh-CN"/>
              </w:rPr>
              <w:t>CN 50-9206/F</w:t>
            </w:r>
            <w:r>
              <w:rPr>
                <w:rFonts w:hint="default" w:ascii="Times New Roman" w:hAnsi="Times New Roman" w:eastAsia="宋体" w:cs="Times New Roman"/>
                <w:sz w:val="24"/>
                <w:lang w:eastAsia="zh-CN"/>
              </w:rPr>
              <w:t>）</w:t>
            </w:r>
            <w:r>
              <w:rPr>
                <w:rFonts w:hint="default" w:ascii="Times New Roman" w:hAnsi="Times New Roman" w:eastAsia="宋体" w:cs="Times New Roman"/>
                <w:sz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161"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发表文章内容简介</w:t>
            </w:r>
          </w:p>
        </w:tc>
        <w:tc>
          <w:tcPr>
            <w:tcW w:w="7408" w:type="dxa"/>
            <w:gridSpan w:val="8"/>
            <w:vAlign w:val="center"/>
          </w:tcPr>
          <w:p>
            <w:pPr>
              <w:rPr>
                <w:rFonts w:hint="default" w:ascii="Times New Roman" w:hAnsi="Times New Roman" w:eastAsia="宋体" w:cs="Times New Roman"/>
                <w:sz w:val="24"/>
                <w:lang w:val="en-US" w:eastAsia="zh-CN"/>
              </w:rPr>
            </w:pP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本文论述了管理创新对企业生存和发展的重要性和必要性，提出企业经营者要不断进行观念创新、战略创新、制度创新、组织创新和市场创新，把创新渗透于企业管理过程之中，以实现经济发展方式的转变和提升，并进一步分析了促进企业管理创新的因素和实践创新的方向和路径。</w:t>
            </w:r>
          </w:p>
          <w:p>
            <w:pPr>
              <w:rPr>
                <w:rFonts w:hint="default" w:ascii="Times New Roman" w:hAnsi="Times New Roman" w:eastAsia="宋体" w:cs="Times New Roman"/>
                <w:sz w:val="24"/>
                <w:lang w:val="en-US" w:eastAsia="zh-CN"/>
              </w:rPr>
            </w:pPr>
          </w:p>
        </w:tc>
      </w:tr>
    </w:tbl>
    <w:p/>
    <w:tbl>
      <w:tblPr>
        <w:tblStyle w:val="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拟定学位论文</w:t>
            </w:r>
          </w:p>
          <w:p>
            <w:pPr>
              <w:jc w:val="center"/>
              <w:rPr>
                <w:rFonts w:hint="default" w:ascii="Times New Roman" w:hAnsi="Times New Roman" w:eastAsia="宋体" w:cs="Times New Roman"/>
                <w:sz w:val="24"/>
              </w:rPr>
            </w:pPr>
            <w:r>
              <w:rPr>
                <w:rFonts w:hint="default" w:ascii="Times New Roman" w:hAnsi="Times New Roman" w:eastAsia="宋体" w:cs="Times New Roman"/>
                <w:sz w:val="24"/>
              </w:rPr>
              <w:t>写作方向</w:t>
            </w:r>
          </w:p>
        </w:tc>
        <w:tc>
          <w:tcPr>
            <w:tcW w:w="6982" w:type="dxa"/>
            <w:vAlign w:val="center"/>
          </w:tcPr>
          <w:p>
            <w:pPr>
              <w:rPr>
                <w:rFonts w:hint="default" w:ascii="Times New Roman" w:hAnsi="Times New Roman" w:eastAsia="宋体" w:cs="Times New Roman"/>
                <w:sz w:val="24"/>
                <w:lang w:eastAsia="zh-CN"/>
              </w:rPr>
            </w:pPr>
            <w:r>
              <w:rPr>
                <w:rFonts w:hint="eastAsia" w:ascii="宋体" w:hAnsi="宋体" w:eastAsia="宋体" w:cs="Times New Roman"/>
                <w:kern w:val="2"/>
                <w:sz w:val="24"/>
                <w:szCs w:val="22"/>
                <w:lang w:val="en-US" w:eastAsia="zh-CN" w:bidi="ar"/>
              </w:rPr>
              <w:t>中小企业融资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拟定学位论文选题背景意义内容摘要</w:t>
            </w:r>
          </w:p>
        </w:tc>
        <w:tc>
          <w:tcPr>
            <w:tcW w:w="6982" w:type="dxa"/>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一、选题背景</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中小企业融资约束问题一直以来受到社会各界的广泛关注，国家“十四五”规划再次把大力扶持各类中小企业的发展作为战略任务提上日程。在我国，绝大多数中小企业都存在资金紧缺问题，伴随着银行信贷审批力度加大、资本市场体制不完善等问题的加剧，给中小企业的外部融资带来了较多限制，供应链金融的发展则缓解了中小企业融资约束问题。</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中小企业是数字经济发展中的重要力量，对国民经济的发展做出了重要贡献，因此，中小企业的健康发展受到越来越多的重视。然而，受到自身社会资源的限制，中小企业融资方式比较单―，最常采用的是以银行为媒介的信贷融资方式，但由于我国中小企业普遍存在财务信息透明度低、财务制度不健全、不规范等问题，因此融资难与融资成本高成为中小企业发展的重要阻碍。</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供应链金融则聚焦银行围绕核心企业，对其所处产业链的上下游中小企业进行资金流与物流统一管理，降低向中小企业融资的不可控风险，促进核心企业与上下游企业“生产－供应－销售”链条的稳固和流转顺畅。供应链金融的发展大力推进了产业生态的持续发展与完善，能够有效解决中小企业融资难问题。</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在数字经济转型发展的特殊时期，本文选用了现金－现金流敏感性作为研究的切入点，从理论上分析了供应链金融的发展对于我国中小上市企业融资约束的影响，并就其影响机制进行探讨。</w:t>
            </w:r>
          </w:p>
          <w:p>
            <w:pPr>
              <w:keepNext w:val="0"/>
              <w:keepLines w:val="0"/>
              <w:widowControl w:val="0"/>
              <w:numPr>
                <w:ilvl w:val="0"/>
                <w:numId w:val="1"/>
              </w:numPr>
              <w:suppressLineNumbers w:val="0"/>
              <w:spacing w:before="0" w:beforeAutospacing="0" w:after="0" w:afterAutospacing="0"/>
              <w:ind w:left="0" w:right="0" w:firstLine="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选题意义</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根据科法斯发布的《中国支付状况调查2019》，中小企业的平均赊销期限在不断延伸。对银行等资金拥有者来说，供应链金融是其开拓新的利润来源、提高竞争能力的重要领域。伴随着金融脱媒的出现以及存贷款利率市场化的发展，银行等资金拥有者之间的同业竞争呈现出越来越激烈的局面，商业银行等金融机构需要不断寻找新的发展空间。</w:t>
            </w:r>
          </w:p>
          <w:p>
            <w:pPr>
              <w:keepNext w:val="0"/>
              <w:keepLines w:val="0"/>
              <w:widowControl/>
              <w:suppressLineNumbers w:val="0"/>
              <w:jc w:val="left"/>
              <w:rPr>
                <w:rFonts w:hint="default" w:ascii="Times New Roman" w:hAnsi="Times New Roman" w:eastAsia="宋体" w:cs="Times New Roman"/>
                <w:sz w:val="24"/>
              </w:rPr>
            </w:pPr>
            <w:r>
              <w:rPr>
                <w:rFonts w:hint="eastAsia" w:ascii="宋体" w:hAnsi="宋体" w:eastAsia="宋体" w:cs="Times New Roman"/>
                <w:kern w:val="2"/>
                <w:sz w:val="24"/>
                <w:szCs w:val="22"/>
                <w:lang w:val="en-US" w:eastAsia="zh-CN" w:bidi="ar"/>
              </w:rPr>
              <w:t>本文基于信息不对称理论、交易费用理论等理论基础，分析了供应链金融缓解中小企业融资困境的作用机理，通过回归分析和比较分析，验证供应链金融是否能够帮助中小企业破除融资困境，并针对结论提出相关发展建议，不仅可以丰富中小企业融资的相关理论，也能够为中小企业的融资实践活动提供理论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拟定学位论文题目</w:t>
            </w:r>
          </w:p>
        </w:tc>
        <w:tc>
          <w:tcPr>
            <w:tcW w:w="6982" w:type="dxa"/>
            <w:vAlign w:val="center"/>
          </w:tcPr>
          <w:p>
            <w:pPr>
              <w:rPr>
                <w:rFonts w:hint="default" w:ascii="Times New Roman" w:hAnsi="Times New Roman" w:eastAsia="宋体" w:cs="Times New Roman"/>
                <w:sz w:val="24"/>
              </w:rPr>
            </w:pPr>
            <w:r>
              <w:rPr>
                <w:rFonts w:hint="eastAsia" w:ascii="宋体" w:hAnsi="宋体" w:eastAsia="宋体" w:cs="Times New Roman"/>
                <w:kern w:val="2"/>
                <w:sz w:val="24"/>
                <w:szCs w:val="22"/>
                <w:lang w:val="en-US" w:eastAsia="zh-CN" w:bidi="ar"/>
              </w:rPr>
              <w:t>供应链金融对企业融资约束的缓解效应研究——以新三板中小企业为例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拟定学位论文提纲</w:t>
            </w:r>
          </w:p>
        </w:tc>
        <w:tc>
          <w:tcPr>
            <w:tcW w:w="6982" w:type="dxa"/>
            <w:vAlign w:val="center"/>
          </w:tcPr>
          <w:tbl>
            <w:tblPr>
              <w:tblStyle w:val="6"/>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6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386" w:hRule="atLeast"/>
                <w:jc w:val="center"/>
              </w:trPr>
              <w:tc>
                <w:tcPr>
                  <w:tcW w:w="6982" w:type="dxa"/>
                  <w:tcBorders>
                    <w:tl2br w:val="nil"/>
                    <w:tr2bl w:val="nil"/>
                  </w:tcBorders>
                  <w:shd w:val="clear"/>
                  <w:vAlign w:val="center"/>
                </w:tcPr>
                <w:p>
                  <w:pPr>
                    <w:keepNext w:val="0"/>
                    <w:keepLines w:val="0"/>
                    <w:widowControl w:val="0"/>
                    <w:numPr>
                      <w:ilvl w:val="0"/>
                      <w:numId w:val="2"/>
                    </w:numPr>
                    <w:suppressLineNumbers w:val="0"/>
                    <w:spacing w:before="0" w:beforeAutospacing="0" w:after="0" w:afterAutospacing="0"/>
                    <w:ind w:left="0" w:right="0" w:firstLine="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绪论</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1.1研究背景及意义</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1.2文献综述</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1.3研究方法</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1.4研究思路与框架</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1.5创新点与不足</w:t>
                  </w:r>
                </w:p>
                <w:p>
                  <w:pPr>
                    <w:keepNext w:val="0"/>
                    <w:keepLines w:val="0"/>
                    <w:widowControl w:val="0"/>
                    <w:numPr>
                      <w:ilvl w:val="0"/>
                      <w:numId w:val="2"/>
                    </w:numPr>
                    <w:suppressLineNumbers w:val="0"/>
                    <w:spacing w:before="0" w:beforeAutospacing="0" w:after="0" w:afterAutospacing="0"/>
                    <w:ind w:left="0" w:right="0" w:firstLine="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概念界定与理论基础</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2.1相关概念界定</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2.2供应链金融影响中小企业融资约束的理论基础</w:t>
                  </w:r>
                </w:p>
                <w:p>
                  <w:pPr>
                    <w:keepNext w:val="0"/>
                    <w:keepLines w:val="0"/>
                    <w:widowControl w:val="0"/>
                    <w:numPr>
                      <w:ilvl w:val="0"/>
                      <w:numId w:val="2"/>
                    </w:numPr>
                    <w:suppressLineNumbers w:val="0"/>
                    <w:spacing w:before="0" w:beforeAutospacing="0" w:after="0" w:afterAutospacing="0"/>
                    <w:ind w:left="0" w:right="0" w:firstLine="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供应链金融与中小企业融资现状分析</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3.1供应链金融的发展现状分析</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3.2中小企业融资现状分析</w:t>
                  </w:r>
                </w:p>
                <w:p>
                  <w:pPr>
                    <w:keepNext w:val="0"/>
                    <w:keepLines w:val="0"/>
                    <w:widowControl w:val="0"/>
                    <w:numPr>
                      <w:ilvl w:val="0"/>
                      <w:numId w:val="2"/>
                    </w:numPr>
                    <w:suppressLineNumbers w:val="0"/>
                    <w:spacing w:before="0" w:beforeAutospacing="0" w:after="0" w:afterAutospacing="0"/>
                    <w:ind w:left="0" w:right="0" w:firstLine="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供应链金融缓解中小企业融资约束的作用机理</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4.1供应链金融提高了中小企业融资的信息透明度</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4.2供应链金融提高了中小企业资信水平</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4.3供应链金融降低了银企交易费用</w:t>
                  </w:r>
                </w:p>
                <w:p>
                  <w:pPr>
                    <w:keepNext w:val="0"/>
                    <w:keepLines w:val="0"/>
                    <w:widowControl w:val="0"/>
                    <w:numPr>
                      <w:ilvl w:val="0"/>
                      <w:numId w:val="2"/>
                    </w:numPr>
                    <w:suppressLineNumbers w:val="0"/>
                    <w:spacing w:before="0" w:beforeAutospacing="0" w:after="0" w:afterAutospacing="0"/>
                    <w:ind w:left="0" w:right="0" w:firstLine="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供应链金融与中小企业融资约束的实证分析</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5.1研究设计</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5.2实证分析</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5.3实证结论</w:t>
                  </w:r>
                </w:p>
                <w:p>
                  <w:pPr>
                    <w:keepNext w:val="0"/>
                    <w:keepLines w:val="0"/>
                    <w:widowControl w:val="0"/>
                    <w:numPr>
                      <w:ilvl w:val="0"/>
                      <w:numId w:val="2"/>
                    </w:numPr>
                    <w:suppressLineNumbers w:val="0"/>
                    <w:spacing w:before="0" w:beforeAutospacing="0" w:after="0" w:afterAutospacing="0"/>
                    <w:ind w:left="0" w:right="0" w:firstLine="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结论及对策建议</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6.1研究结论</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bdr w:val="none" w:color="auto" w:sz="0" w:space="0"/>
                      <w:lang w:val="en-US"/>
                    </w:rPr>
                  </w:pPr>
                  <w:r>
                    <w:rPr>
                      <w:rFonts w:hint="eastAsia" w:ascii="宋体" w:hAnsi="宋体" w:eastAsia="宋体" w:cs="宋体"/>
                      <w:kern w:val="2"/>
                      <w:sz w:val="24"/>
                      <w:szCs w:val="22"/>
                      <w:bdr w:val="none" w:color="auto" w:sz="0" w:space="0"/>
                      <w:lang w:val="en-US" w:eastAsia="zh-CN" w:bidi="ar"/>
                    </w:rPr>
                    <w:t>6.2对策建议</w:t>
                  </w:r>
                </w:p>
              </w:tc>
            </w:tr>
          </w:tbl>
          <w:p>
            <w:pPr>
              <w:rPr>
                <w:rFonts w:hint="default" w:ascii="Times New Roman" w:hAnsi="Times New Roman" w:eastAsia="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8" w:hRule="atLeast"/>
          <w:jc w:val="center"/>
        </w:trPr>
        <w:tc>
          <w:tcPr>
            <w:tcW w:w="2362" w:type="dxa"/>
            <w:vAlign w:val="center"/>
          </w:tcPr>
          <w:p>
            <w:pPr>
              <w:jc w:val="center"/>
              <w:rPr>
                <w:rFonts w:hint="default" w:ascii="Times New Roman" w:hAnsi="Times New Roman" w:eastAsia="宋体" w:cs="Times New Roman"/>
                <w:sz w:val="24"/>
              </w:rPr>
            </w:pPr>
            <w:r>
              <w:rPr>
                <w:rFonts w:hint="default" w:ascii="Times New Roman" w:hAnsi="Times New Roman" w:eastAsia="宋体" w:cs="Times New Roman"/>
                <w:sz w:val="24"/>
              </w:rPr>
              <w:t>论文素材、数据及参考书目</w:t>
            </w:r>
          </w:p>
        </w:tc>
        <w:tc>
          <w:tcPr>
            <w:tcW w:w="6982" w:type="dxa"/>
            <w:vAlign w:val="center"/>
          </w:tcPr>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[1]Chan K. S., Dang V. Q. T.,Yan I. K. M. Financial Reform and Financing Constraints:Some Evidence from Listed Chinese Firms[J].China Economic Review,2012,23（2）:482-497.</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[2]Khurana L.,Martin X.,Pereira R. Financial Development and the Cash Flow Sensitivity of Cash[J].Journal of financial and Quantitative Analysis,2006,(41):787-807.</w:t>
            </w:r>
          </w:p>
          <w:p>
            <w:pPr>
              <w:keepNext w:val="0"/>
              <w:keepLines w:val="0"/>
              <w:widowControl/>
              <w:suppressLineNumbers w:val="0"/>
              <w:jc w:val="left"/>
            </w:pPr>
            <w:r>
              <w:rPr>
                <w:rFonts w:hint="eastAsia" w:ascii="宋体" w:hAnsi="宋体" w:eastAsia="宋体" w:cs="Times New Roman"/>
                <w:kern w:val="2"/>
                <w:sz w:val="24"/>
                <w:szCs w:val="22"/>
                <w:lang w:val="en-US" w:eastAsia="zh-CN" w:bidi="ar"/>
              </w:rPr>
              <w:t>[10]Su.L,Lu.N. Simulation of Game Model for Supply Chain Finance Credit Risk Based on Multi-Agent[J].Open Journal of Social Sciences,2015,(1):31-36.</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[3]胡海青,张琅.供应链金融视角下的中小企业信用风险评估研究——基于svm与bp神经网络的比较研究[J].管理评论,2012,(11):70-80.</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[4]申云,李京蓉.乡村振兴背景下农业供应链金融信贷风险防控机制研究[J].金融与经济,2019,(02):46-53.</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[5]朱华杰.商业银行线上供应链金融融资信用风险及控制对策[J].中国商论,2018,(31): 42-43.</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[6]宋华.智慧供应链金融[J].经济理论与经济管理，2019,(10):114.</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[7]袁文婧.区块链技术在供应链金融的创新应用研究[J].经济研究导刊,2020,(3):85.</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sz w:val="24"/>
                <w:szCs w:val="22"/>
                <w:lang w:val="en-US"/>
              </w:rPr>
            </w:pPr>
            <w:r>
              <w:rPr>
                <w:rFonts w:hint="eastAsia" w:ascii="宋体" w:hAnsi="宋体" w:eastAsia="宋体" w:cs="宋体"/>
                <w:kern w:val="2"/>
                <w:sz w:val="24"/>
                <w:szCs w:val="22"/>
                <w:lang w:val="en-US" w:eastAsia="zh-CN" w:bidi="ar"/>
              </w:rPr>
              <w:t>[8]肖晶,粟勤.破除银行业垄断能够缓解中小企业融资约束吗?[J].南开经济研究,2016,(05):19-35.</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eastAsia="宋体" w:cs="Times New Roman"/>
                <w:color w:val="000000"/>
                <w:kern w:val="0"/>
                <w:sz w:val="18"/>
                <w:szCs w:val="18"/>
                <w:lang w:val="en-US" w:eastAsia="zh-CN"/>
              </w:rPr>
            </w:pPr>
            <w:r>
              <w:rPr>
                <w:rFonts w:hint="eastAsia" w:ascii="宋体" w:hAnsi="宋体" w:eastAsia="宋体" w:cs="宋体"/>
                <w:kern w:val="2"/>
                <w:sz w:val="24"/>
                <w:szCs w:val="22"/>
                <w:lang w:val="en-US" w:eastAsia="zh-CN" w:bidi="ar"/>
              </w:rPr>
              <w:t>[9]韦茜.基于中小企业融资难题的多层次资本市场体系建设[J].经济</w:t>
            </w:r>
            <w:bookmarkStart w:id="0" w:name="_GoBack"/>
            <w:bookmarkEnd w:id="0"/>
            <w:r>
              <w:rPr>
                <w:rFonts w:hint="eastAsia" w:ascii="宋体" w:hAnsi="宋体" w:eastAsia="宋体" w:cs="宋体"/>
                <w:kern w:val="2"/>
                <w:sz w:val="24"/>
                <w:szCs w:val="22"/>
                <w:lang w:val="en-US" w:eastAsia="zh-CN" w:bidi="ar"/>
              </w:rPr>
              <w:t>研究导刊,2017,3:88-89.</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variable"/>
    <w:sig w:usb0="E00002FF" w:usb1="420024FF" w:usb2="00000000" w:usb3="00000000" w:csb0="2000019F" w:csb1="00000000"/>
  </w:font>
  <w:font w:name="@宋体">
    <w:panose1 w:val="02010600030101010101"/>
    <w:charset w:val="86"/>
    <w:family w:val="auto"/>
    <w:pitch w:val="variable"/>
    <w:sig w:usb0="00000003" w:usb1="288F0000" w:usb2="00000006" w:usb3="00000000" w:csb0="00040001" w:csb1="00000000"/>
  </w:font>
  <w:font w:name="@等线">
    <w:altName w:val="宋体"/>
    <w:panose1 w:val="00000000000000000000"/>
    <w:charset w:val="86"/>
    <w:family w:val="auto"/>
    <w:pitch w:val="default"/>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28222E"/>
    <w:multiLevelType w:val="multilevel"/>
    <w:tmpl w:val="AD28222E"/>
    <w:lvl w:ilvl="0" w:tentative="0">
      <w:start w:val="2"/>
      <w:numFmt w:val="chineseCounting"/>
      <w:suff w:val="nothing"/>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B5443FD4"/>
    <w:multiLevelType w:val="multilevel"/>
    <w:tmpl w:val="B5443FD4"/>
    <w:lvl w:ilvl="0" w:tentative="0">
      <w:start w:val="1"/>
      <w:numFmt w:val="chineseCounting"/>
      <w:suff w:val="space"/>
      <w:lvlText w:val="第%1章"/>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616E"/>
    <w:rsid w:val="00111AC2"/>
    <w:rsid w:val="001C3791"/>
    <w:rsid w:val="001D4ABC"/>
    <w:rsid w:val="001F2172"/>
    <w:rsid w:val="00360B7C"/>
    <w:rsid w:val="003C213C"/>
    <w:rsid w:val="00556D05"/>
    <w:rsid w:val="00761113"/>
    <w:rsid w:val="00807310"/>
    <w:rsid w:val="009D0666"/>
    <w:rsid w:val="00A32456"/>
    <w:rsid w:val="00AB5DD7"/>
    <w:rsid w:val="00E5705C"/>
    <w:rsid w:val="03040889"/>
    <w:rsid w:val="03DD7D7D"/>
    <w:rsid w:val="04EA1B50"/>
    <w:rsid w:val="066264ED"/>
    <w:rsid w:val="0695143E"/>
    <w:rsid w:val="091552EE"/>
    <w:rsid w:val="0F70464B"/>
    <w:rsid w:val="16EF42A5"/>
    <w:rsid w:val="1EFA4ADA"/>
    <w:rsid w:val="208138A8"/>
    <w:rsid w:val="21B84E92"/>
    <w:rsid w:val="2B9F3114"/>
    <w:rsid w:val="4489215D"/>
    <w:rsid w:val="486A7B7F"/>
    <w:rsid w:val="4B3B3DF8"/>
    <w:rsid w:val="4E242B0C"/>
    <w:rsid w:val="4FBD3D81"/>
    <w:rsid w:val="5E5C1582"/>
    <w:rsid w:val="61950C3A"/>
    <w:rsid w:val="689017FC"/>
    <w:rsid w:val="6F152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CellMar>
        <w:top w:w="0" w:type="dxa"/>
        <w:left w:w="108" w:type="dxa"/>
        <w:bottom w:w="0" w:type="dxa"/>
        <w:right w:w="108" w:type="dxa"/>
      </w:tblCellMar>
    </w:tblPr>
  </w:style>
  <w:style w:type="paragraph" w:styleId="5">
    <w:name w:val="Title"/>
    <w:basedOn w:val="1"/>
    <w:next w:val="1"/>
    <w:qFormat/>
    <w:uiPriority w:val="0"/>
    <w:pPr>
      <w:spacing w:before="240" w:after="60"/>
      <w:jc w:val="center"/>
      <w:outlineLvl w:val="0"/>
    </w:pPr>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2</TotalTime>
  <ScaleCrop>false</ScaleCrop>
  <LinksUpToDate>false</LinksUpToDate>
  <CharactersWithSpaces>471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Lenovo</cp:lastModifiedBy>
  <dcterms:modified xsi:type="dcterms:W3CDTF">2021-06-08T13:24:08Z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06DAB66775384A4498E0E7DCC697AA51</vt:lpwstr>
  </property>
</Properties>
</file>