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109"/>
        <w:gridCol w:w="1112"/>
        <w:gridCol w:w="591"/>
        <w:gridCol w:w="861"/>
        <w:gridCol w:w="600"/>
        <w:gridCol w:w="561"/>
        <w:gridCol w:w="1016"/>
        <w:gridCol w:w="1301"/>
      </w:tblGrid>
      <w:tr w:rsidR="00AB5DD7" w:rsidRPr="00AB5DD7" w:rsidTr="001D4ABC">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rsidR="00AB5DD7" w:rsidRPr="00AB5DD7" w:rsidRDefault="00AE059F" w:rsidP="00F44444">
            <w:pPr>
              <w:rPr>
                <w:rFonts w:ascii="宋体" w:eastAsia="宋体" w:hAnsi="宋体"/>
                <w:sz w:val="24"/>
              </w:rPr>
            </w:pPr>
            <w:r>
              <w:rPr>
                <w:rFonts w:ascii="宋体" w:eastAsia="宋体" w:hAnsi="宋体" w:hint="eastAsia"/>
                <w:sz w:val="24"/>
              </w:rPr>
              <w:t>71040355</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rsidR="00AB5DD7" w:rsidRPr="00AB5DD7" w:rsidRDefault="00AE059F" w:rsidP="00F44444">
            <w:pPr>
              <w:rPr>
                <w:rFonts w:ascii="宋体" w:eastAsia="宋体" w:hAnsi="宋体"/>
                <w:sz w:val="24"/>
              </w:rPr>
            </w:pPr>
            <w:r>
              <w:rPr>
                <w:rFonts w:ascii="宋体" w:eastAsia="宋体" w:hAnsi="宋体"/>
                <w:sz w:val="24"/>
              </w:rPr>
              <w:t>岑天龙</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rsidR="00AB5DD7" w:rsidRPr="00AB5DD7" w:rsidRDefault="00AE059F" w:rsidP="00F44444">
            <w:pPr>
              <w:rPr>
                <w:rFonts w:ascii="宋体" w:eastAsia="宋体" w:hAnsi="宋体"/>
                <w:sz w:val="24"/>
              </w:rPr>
            </w:pPr>
            <w:r>
              <w:rPr>
                <w:rFonts w:ascii="宋体" w:eastAsia="宋体" w:hAnsi="宋体" w:hint="eastAsia"/>
                <w:sz w:val="24"/>
              </w:rPr>
              <w:t>上海</w:t>
            </w:r>
          </w:p>
        </w:tc>
        <w:tc>
          <w:tcPr>
            <w:tcW w:w="1427" w:type="dxa"/>
            <w:gridSpan w:val="2"/>
            <w:vAlign w:val="center"/>
          </w:tcPr>
          <w:p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rsidR="00AB5DD7" w:rsidRPr="00AB5DD7" w:rsidRDefault="00AB5DD7" w:rsidP="00F44444">
            <w:pPr>
              <w:rPr>
                <w:rFonts w:ascii="宋体" w:eastAsia="宋体" w:hAnsi="宋体"/>
                <w:sz w:val="24"/>
              </w:rPr>
            </w:pPr>
            <w:r w:rsidRPr="00AB5DD7">
              <w:rPr>
                <w:rFonts w:ascii="宋体" w:eastAsia="宋体" w:hAnsi="宋体" w:hint="eastAsia"/>
                <w:sz w:val="24"/>
              </w:rPr>
              <w:t>企业经济学</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rsidR="00AB5DD7" w:rsidRPr="00AB5DD7" w:rsidRDefault="00AE059F" w:rsidP="00AB5DD7">
            <w:pPr>
              <w:rPr>
                <w:rFonts w:ascii="宋体" w:eastAsia="宋体" w:hAnsi="宋体"/>
                <w:sz w:val="24"/>
              </w:rPr>
            </w:pPr>
            <w:r>
              <w:rPr>
                <w:rFonts w:ascii="宋体" w:eastAsia="宋体" w:hAnsi="宋体" w:hint="eastAsia"/>
                <w:sz w:val="24"/>
              </w:rPr>
              <w:t>18801911008</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rsidR="00AB5DD7" w:rsidRPr="00AB5DD7" w:rsidRDefault="00AE059F" w:rsidP="00AB5DD7">
            <w:pPr>
              <w:rPr>
                <w:rFonts w:ascii="宋体" w:eastAsia="宋体" w:hAnsi="宋体"/>
                <w:sz w:val="24"/>
              </w:rPr>
            </w:pPr>
            <w:r>
              <w:rPr>
                <w:rFonts w:ascii="宋体" w:eastAsia="宋体" w:hAnsi="宋体"/>
                <w:sz w:val="24"/>
              </w:rPr>
              <w:t>ctl</w:t>
            </w:r>
            <w:r>
              <w:rPr>
                <w:rFonts w:ascii="宋体" w:eastAsia="宋体" w:hAnsi="宋体" w:hint="eastAsia"/>
                <w:sz w:val="24"/>
              </w:rPr>
              <w:t>9011@126.com</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rsidR="00AB5DD7" w:rsidRPr="00AB5DD7" w:rsidRDefault="00AE059F" w:rsidP="00AB5DD7">
            <w:pPr>
              <w:rPr>
                <w:rFonts w:ascii="宋体" w:eastAsia="宋体" w:hAnsi="宋体"/>
                <w:sz w:val="24"/>
              </w:rPr>
            </w:pPr>
            <w:r>
              <w:rPr>
                <w:rFonts w:ascii="宋体" w:eastAsia="宋体" w:hAnsi="宋体"/>
                <w:sz w:val="24"/>
              </w:rPr>
              <w:t>上海大学</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rsidR="00AB5DD7" w:rsidRPr="00AB5DD7" w:rsidRDefault="00AE059F" w:rsidP="00AB5DD7">
            <w:pPr>
              <w:rPr>
                <w:rFonts w:ascii="宋体" w:eastAsia="宋体" w:hAnsi="宋体"/>
                <w:sz w:val="24"/>
              </w:rPr>
            </w:pPr>
            <w:r>
              <w:rPr>
                <w:rFonts w:ascii="宋体" w:eastAsia="宋体" w:hAnsi="宋体" w:hint="eastAsia"/>
                <w:sz w:val="24"/>
              </w:rPr>
              <w:t>测控技术与仪器</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rsidR="00AB5DD7" w:rsidRPr="00AB5DD7" w:rsidRDefault="00AE059F" w:rsidP="00AB5DD7">
            <w:pPr>
              <w:rPr>
                <w:rFonts w:ascii="宋体" w:eastAsia="宋体" w:hAnsi="宋体"/>
                <w:sz w:val="24"/>
              </w:rPr>
            </w:pPr>
            <w:r>
              <w:rPr>
                <w:rFonts w:ascii="宋体" w:eastAsia="宋体" w:hAnsi="宋体"/>
                <w:sz w:val="24"/>
              </w:rPr>
              <w:t>上海汽车变速器有限公司</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rsidR="00AB5DD7" w:rsidRPr="00AB5DD7" w:rsidRDefault="00917AE6" w:rsidP="00AB5DD7">
            <w:pPr>
              <w:rPr>
                <w:rFonts w:ascii="宋体" w:eastAsia="宋体" w:hAnsi="宋体"/>
                <w:sz w:val="24"/>
              </w:rPr>
            </w:pPr>
            <w:r>
              <w:rPr>
                <w:rFonts w:ascii="宋体" w:eastAsia="宋体" w:hAnsi="宋体"/>
                <w:sz w:val="24"/>
              </w:rPr>
              <w:t>关键客户</w:t>
            </w:r>
            <w:r w:rsidR="00AE059F">
              <w:rPr>
                <w:rFonts w:ascii="宋体" w:eastAsia="宋体" w:hAnsi="宋体"/>
                <w:sz w:val="24"/>
              </w:rPr>
              <w:t>经理</w:t>
            </w:r>
          </w:p>
        </w:tc>
      </w:tr>
      <w:tr w:rsidR="00AB5DD7" w:rsidRPr="00AB5DD7" w:rsidTr="001D4ABC">
        <w:trPr>
          <w:trHeight w:val="3948"/>
          <w:jc w:val="center"/>
        </w:trPr>
        <w:tc>
          <w:tcPr>
            <w:tcW w:w="2362"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rsidR="00AB5DD7" w:rsidRDefault="00AE059F" w:rsidP="00AB5DD7">
            <w:pPr>
              <w:rPr>
                <w:rFonts w:ascii="宋体" w:eastAsia="宋体" w:hAnsi="宋体"/>
                <w:sz w:val="24"/>
              </w:rPr>
            </w:pPr>
            <w:r>
              <w:rPr>
                <w:rFonts w:ascii="宋体" w:eastAsia="宋体" w:hAnsi="宋体" w:hint="eastAsia"/>
                <w:sz w:val="24"/>
              </w:rPr>
              <w:t>2010-2014</w:t>
            </w:r>
            <w:r w:rsidR="00917AE6">
              <w:rPr>
                <w:rFonts w:ascii="宋体" w:eastAsia="宋体" w:hAnsi="宋体" w:hint="eastAsia"/>
                <w:sz w:val="24"/>
              </w:rPr>
              <w:t>年就读于上海大学机电工程与自动化学院，本科专业为机械电子工程</w:t>
            </w:r>
            <w:r>
              <w:rPr>
                <w:rFonts w:ascii="宋体" w:eastAsia="宋体" w:hAnsi="宋体" w:hint="eastAsia"/>
                <w:sz w:val="24"/>
              </w:rPr>
              <w:t>；</w:t>
            </w:r>
          </w:p>
          <w:p w:rsidR="00AE059F" w:rsidRPr="00AB5DD7" w:rsidRDefault="00AE059F" w:rsidP="00AB5DD7">
            <w:pPr>
              <w:rPr>
                <w:rFonts w:ascii="宋体" w:eastAsia="宋体" w:hAnsi="宋体"/>
                <w:sz w:val="24"/>
              </w:rPr>
            </w:pPr>
            <w:r>
              <w:rPr>
                <w:rFonts w:ascii="宋体" w:eastAsia="宋体" w:hAnsi="宋体" w:hint="eastAsia"/>
                <w:sz w:val="24"/>
              </w:rPr>
              <w:t>2014年本科毕业后，就职于上海汽</w:t>
            </w:r>
            <w:r w:rsidR="00917AE6">
              <w:rPr>
                <w:rFonts w:ascii="宋体" w:eastAsia="宋体" w:hAnsi="宋体" w:hint="eastAsia"/>
                <w:sz w:val="24"/>
              </w:rPr>
              <w:t>车变速器有限公司至今，目前在公司销售部任职关键客户经理，负责</w:t>
            </w:r>
            <w:r>
              <w:rPr>
                <w:rFonts w:ascii="宋体" w:eastAsia="宋体" w:hAnsi="宋体" w:hint="eastAsia"/>
                <w:sz w:val="24"/>
              </w:rPr>
              <w:t>上汽通用汽车有限公司</w:t>
            </w:r>
            <w:r w:rsidR="00917AE6">
              <w:rPr>
                <w:rFonts w:ascii="宋体" w:eastAsia="宋体" w:hAnsi="宋体" w:hint="eastAsia"/>
                <w:sz w:val="24"/>
              </w:rPr>
              <w:t>相关业务</w:t>
            </w:r>
            <w:r>
              <w:rPr>
                <w:rFonts w:ascii="宋体" w:eastAsia="宋体" w:hAnsi="宋体" w:hint="eastAsia"/>
                <w:sz w:val="24"/>
              </w:rPr>
              <w:t>；2017年开始在职就读中国人民大学企业经济学</w:t>
            </w:r>
            <w:r w:rsidR="00917AE6">
              <w:rPr>
                <w:rFonts w:ascii="宋体" w:eastAsia="宋体" w:hAnsi="宋体" w:hint="eastAsia"/>
                <w:sz w:val="24"/>
              </w:rPr>
              <w:t>，申请企业经济学硕士</w:t>
            </w:r>
            <w:r>
              <w:rPr>
                <w:rFonts w:ascii="宋体" w:eastAsia="宋体" w:hAnsi="宋体" w:hint="eastAsia"/>
                <w:sz w:val="24"/>
              </w:rPr>
              <w:t>学位，2020年通过同等学力全国统一考试，同年发表题为《</w:t>
            </w:r>
            <w:r w:rsidRPr="00AE059F">
              <w:rPr>
                <w:rFonts w:ascii="宋体" w:eastAsia="宋体" w:hAnsi="宋体" w:hint="eastAsia"/>
                <w:sz w:val="24"/>
              </w:rPr>
              <w:t>完善制度建设，加强政府投融资平台管理分析</w:t>
            </w:r>
            <w:r>
              <w:rPr>
                <w:rFonts w:ascii="宋体" w:eastAsia="宋体" w:hAnsi="宋体" w:hint="eastAsia"/>
                <w:sz w:val="24"/>
              </w:rPr>
              <w:t>》小论文，获得最终硕士论文答辩资格。</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rsidR="00AB5DD7" w:rsidRPr="00AB5DD7" w:rsidRDefault="00A32456" w:rsidP="001C3791">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rsidR="00AB5DD7" w:rsidRPr="00AB5DD7" w:rsidRDefault="00A32456" w:rsidP="001C3791">
            <w:pPr>
              <w:jc w:val="center"/>
              <w:rPr>
                <w:rFonts w:ascii="宋体" w:eastAsia="宋体" w:hAnsi="宋体"/>
                <w:sz w:val="24"/>
              </w:rPr>
            </w:pPr>
            <w:r>
              <w:rPr>
                <w:rFonts w:ascii="宋体" w:eastAsia="宋体" w:hAnsi="宋体" w:hint="eastAsia"/>
                <w:sz w:val="24"/>
              </w:rPr>
              <w:t>填：是，</w:t>
            </w:r>
          </w:p>
        </w:tc>
        <w:tc>
          <w:tcPr>
            <w:tcW w:w="99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rsidR="00AB5DD7" w:rsidRPr="00AB5DD7" w:rsidRDefault="00AE059F" w:rsidP="00AB5DD7">
            <w:pPr>
              <w:jc w:val="center"/>
              <w:rPr>
                <w:rFonts w:ascii="宋体" w:eastAsia="宋体" w:hAnsi="宋体"/>
                <w:sz w:val="24"/>
              </w:rPr>
            </w:pPr>
            <w:r>
              <w:rPr>
                <w:rFonts w:ascii="宋体" w:eastAsia="宋体" w:hAnsi="宋体" w:hint="eastAsia"/>
                <w:sz w:val="24"/>
              </w:rPr>
              <w:t>5508</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rsidR="00AB5DD7" w:rsidRPr="00AB5DD7" w:rsidRDefault="00AE059F" w:rsidP="00AB5DD7">
            <w:pPr>
              <w:rPr>
                <w:rFonts w:ascii="宋体" w:eastAsia="宋体" w:hAnsi="宋体"/>
                <w:sz w:val="24"/>
              </w:rPr>
            </w:pPr>
            <w:r w:rsidRPr="00AE059F">
              <w:rPr>
                <w:rFonts w:ascii="宋体" w:eastAsia="宋体" w:hAnsi="宋体" w:hint="eastAsia"/>
                <w:sz w:val="24"/>
              </w:rPr>
              <w:t>完善制度建设，加强政府投融资平台管理分析</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rsidR="00AB5DD7" w:rsidRPr="00AB5DD7" w:rsidRDefault="00AE059F" w:rsidP="00AB5DD7">
            <w:pPr>
              <w:rPr>
                <w:rFonts w:ascii="宋体" w:eastAsia="宋体" w:hAnsi="宋体"/>
                <w:sz w:val="24"/>
              </w:rPr>
            </w:pPr>
            <w:r>
              <w:rPr>
                <w:rFonts w:ascii="宋体" w:eastAsia="宋体" w:hAnsi="宋体" w:hint="eastAsia"/>
                <w:sz w:val="24"/>
              </w:rPr>
              <w:t>学海拾贝：上海人大人学员论文集.十八  ISBN 978-7-5427-6102-6</w:t>
            </w:r>
          </w:p>
        </w:tc>
      </w:tr>
      <w:tr w:rsidR="001D4ABC" w:rsidRPr="00AB5DD7" w:rsidTr="001D4ABC">
        <w:trPr>
          <w:trHeight w:val="3156"/>
          <w:jc w:val="center"/>
        </w:trPr>
        <w:tc>
          <w:tcPr>
            <w:tcW w:w="2362"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rsidR="001D4ABC" w:rsidRDefault="00AE059F" w:rsidP="00AB5DD7">
            <w:pPr>
              <w:rPr>
                <w:rFonts w:ascii="宋体" w:eastAsia="宋体" w:hAnsi="宋体"/>
                <w:sz w:val="24"/>
              </w:rPr>
            </w:pPr>
            <w:r w:rsidRPr="00804B8C">
              <w:rPr>
                <w:rFonts w:ascii="宋体" w:eastAsia="宋体" w:hAnsi="宋体"/>
                <w:sz w:val="24"/>
              </w:rPr>
              <w:t>作为特殊时期的特有产物，地方政府融资平台公司在各地公共基础设施建设中发挥着关键性作用，但地方政府融资平台公司在快速发展中也暴露出一系列问题。基于此，文章将简单介绍地方政府投融资平台公司的发展方向，并结合实例开展探讨</w:t>
            </w:r>
            <w:r w:rsidRPr="00804B8C">
              <w:rPr>
                <w:rFonts w:ascii="宋体" w:eastAsia="宋体" w:hAnsi="宋体" w:hint="eastAsia"/>
                <w:sz w:val="24"/>
              </w:rPr>
              <w:t>。</w:t>
            </w:r>
          </w:p>
        </w:tc>
      </w:tr>
    </w:tbl>
    <w:p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7151"/>
      </w:tblGrid>
      <w:tr w:rsidR="00AB5DD7" w:rsidRPr="00AB5DD7" w:rsidTr="00807310">
        <w:trPr>
          <w:trHeight w:val="680"/>
          <w:jc w:val="center"/>
        </w:trPr>
        <w:tc>
          <w:tcPr>
            <w:tcW w:w="2362" w:type="dxa"/>
            <w:vAlign w:val="center"/>
          </w:tcPr>
          <w:p w:rsidR="00AB5DD7" w:rsidRDefault="00AB5DD7" w:rsidP="00AB5DD7">
            <w:pPr>
              <w:jc w:val="center"/>
              <w:rPr>
                <w:rFonts w:ascii="宋体" w:eastAsia="宋体" w:hAnsi="宋体"/>
                <w:sz w:val="24"/>
              </w:rPr>
            </w:pPr>
            <w:r w:rsidRPr="00AB5DD7">
              <w:rPr>
                <w:rFonts w:ascii="宋体" w:eastAsia="宋体" w:hAnsi="宋体" w:hint="eastAsia"/>
                <w:sz w:val="24"/>
              </w:rPr>
              <w:t>拟定学位论文</w:t>
            </w:r>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rsidR="00AB5DD7" w:rsidRPr="00AE059F" w:rsidRDefault="00993D05" w:rsidP="00807310">
            <w:pPr>
              <w:rPr>
                <w:rFonts w:ascii="宋体" w:eastAsia="宋体" w:hAnsi="宋体"/>
                <w:sz w:val="24"/>
              </w:rPr>
            </w:pPr>
            <w:r>
              <w:rPr>
                <w:rFonts w:ascii="宋体" w:eastAsia="宋体" w:hAnsi="宋体" w:hint="eastAsia"/>
                <w:sz w:val="24"/>
              </w:rPr>
              <w:t>本国经济政策</w:t>
            </w:r>
            <w:r w:rsidR="00014CA4">
              <w:rPr>
                <w:rFonts w:ascii="宋体" w:eastAsia="宋体" w:hAnsi="宋体" w:hint="eastAsia"/>
                <w:sz w:val="24"/>
              </w:rPr>
              <w:t>环境</w:t>
            </w:r>
            <w:r w:rsidR="00AE059F" w:rsidRPr="00AE059F">
              <w:rPr>
                <w:rFonts w:ascii="宋体" w:eastAsia="宋体" w:hAnsi="宋体" w:hint="eastAsia"/>
                <w:sz w:val="24"/>
              </w:rPr>
              <w:t>对企业</w:t>
            </w:r>
            <w:r w:rsidR="00AE059F" w:rsidRPr="00AE059F">
              <w:rPr>
                <w:rFonts w:ascii="宋体" w:eastAsia="宋体" w:hAnsi="宋体"/>
                <w:sz w:val="24"/>
              </w:rPr>
              <w:t>OFDI绩效的影响研究</w:t>
            </w:r>
          </w:p>
        </w:tc>
      </w:tr>
      <w:tr w:rsidR="00AB5DD7" w:rsidRPr="00AB5DD7" w:rsidTr="000D616E">
        <w:trPr>
          <w:trHeight w:val="256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rsidR="00AB5DD7" w:rsidRPr="00AB5DD7" w:rsidRDefault="0026386D" w:rsidP="00AE059F">
            <w:pPr>
              <w:rPr>
                <w:rFonts w:ascii="宋体" w:eastAsia="宋体" w:hAnsi="宋体"/>
                <w:sz w:val="24"/>
              </w:rPr>
            </w:pPr>
            <w:r w:rsidRPr="0026386D">
              <w:rPr>
                <w:rFonts w:ascii="宋体" w:eastAsia="宋体" w:hAnsi="宋体"/>
                <w:sz w:val="24"/>
              </w:rPr>
              <w:t>20世纪90</w:t>
            </w:r>
            <w:r w:rsidR="00993D05">
              <w:rPr>
                <w:rFonts w:ascii="宋体" w:eastAsia="宋体" w:hAnsi="宋体"/>
                <w:sz w:val="24"/>
              </w:rPr>
              <w:t>年代以来，伴随着中国改革开放的深化以及国内的政策</w:t>
            </w:r>
            <w:r w:rsidRPr="0026386D">
              <w:rPr>
                <w:rFonts w:ascii="宋体" w:eastAsia="宋体" w:hAnsi="宋体"/>
                <w:sz w:val="24"/>
              </w:rPr>
              <w:t>环境向市场一体化的优化调整，大规模的对外直接投资在“走出去”和“一带一路”的战略背景下应势而生。然而，中国企业在尚缺经验的同时还面临着更加繁杂陌生的营商环境，企</w:t>
            </w:r>
            <w:r w:rsidR="00993D05">
              <w:rPr>
                <w:rFonts w:ascii="宋体" w:eastAsia="宋体" w:hAnsi="宋体"/>
                <w:sz w:val="24"/>
              </w:rPr>
              <w:t>业跨境扩张后的经营效果成为社会关注的重点之一。这时，本国经济政策</w:t>
            </w:r>
            <w:r w:rsidRPr="0026386D">
              <w:rPr>
                <w:rFonts w:ascii="宋体" w:eastAsia="宋体" w:hAnsi="宋体"/>
                <w:sz w:val="24"/>
              </w:rPr>
              <w:t>作为企业“走出去”的基石，是否也会使企业“投的好”？针对这一问题，本文以对外直接投资企业为研究对象，</w:t>
            </w:r>
            <w:r w:rsidR="00993D05">
              <w:rPr>
                <w:rFonts w:ascii="宋体" w:eastAsia="宋体" w:hAnsi="宋体"/>
                <w:sz w:val="24"/>
              </w:rPr>
              <w:t>通过对不同类型企业的多种数据的深入研究了中国特色的经济政策</w:t>
            </w:r>
            <w:r w:rsidRPr="0026386D">
              <w:rPr>
                <w:rFonts w:ascii="宋体" w:eastAsia="宋体" w:hAnsi="宋体"/>
                <w:sz w:val="24"/>
              </w:rPr>
              <w:t>环境对企业OFDI绩效的影响效果，并试图揭示其作用机制，从而深化对中国对外直接投资的认识。</w:t>
            </w:r>
          </w:p>
        </w:tc>
      </w:tr>
      <w:tr w:rsidR="00AB5DD7" w:rsidRPr="00AB5DD7" w:rsidTr="00807310">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rsidR="00AB5DD7" w:rsidRPr="00AB5DD7" w:rsidRDefault="00993D05" w:rsidP="00807310">
            <w:pPr>
              <w:rPr>
                <w:rFonts w:ascii="宋体" w:eastAsia="宋体" w:hAnsi="宋体"/>
                <w:sz w:val="24"/>
              </w:rPr>
            </w:pPr>
            <w:r>
              <w:rPr>
                <w:rFonts w:ascii="宋体" w:eastAsia="宋体" w:hAnsi="宋体" w:hint="eastAsia"/>
                <w:sz w:val="24"/>
              </w:rPr>
              <w:t>本国经济政策</w:t>
            </w:r>
            <w:r w:rsidR="00014CA4">
              <w:rPr>
                <w:rFonts w:ascii="宋体" w:eastAsia="宋体" w:hAnsi="宋体" w:hint="eastAsia"/>
                <w:sz w:val="24"/>
              </w:rPr>
              <w:t>环境</w:t>
            </w:r>
            <w:r w:rsidR="0026386D" w:rsidRPr="00AE059F">
              <w:rPr>
                <w:rFonts w:ascii="宋体" w:eastAsia="宋体" w:hAnsi="宋体" w:hint="eastAsia"/>
                <w:sz w:val="24"/>
              </w:rPr>
              <w:t>对企业</w:t>
            </w:r>
            <w:r w:rsidR="0026386D" w:rsidRPr="00AE059F">
              <w:rPr>
                <w:rFonts w:ascii="宋体" w:eastAsia="宋体" w:hAnsi="宋体"/>
                <w:sz w:val="24"/>
              </w:rPr>
              <w:t>OFDI绩效的影响研究</w:t>
            </w:r>
          </w:p>
        </w:tc>
      </w:tr>
      <w:tr w:rsidR="00AB5DD7" w:rsidRPr="00AB5DD7" w:rsidTr="00014CA4">
        <w:trPr>
          <w:trHeight w:val="2542"/>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rsidR="00993D05" w:rsidRPr="00993D05" w:rsidRDefault="00993D05" w:rsidP="00993D05">
            <w:pPr>
              <w:rPr>
                <w:rFonts w:ascii="宋体" w:eastAsia="宋体" w:hAnsi="宋体"/>
                <w:sz w:val="24"/>
              </w:rPr>
            </w:pPr>
            <w:r w:rsidRPr="00993D05">
              <w:rPr>
                <w:rFonts w:ascii="宋体" w:eastAsia="宋体" w:hAnsi="宋体" w:hint="eastAsia"/>
                <w:sz w:val="24"/>
              </w:rPr>
              <w:t>摘</w:t>
            </w:r>
            <w:r w:rsidRPr="00993D05">
              <w:rPr>
                <w:rFonts w:ascii="宋体" w:eastAsia="宋体" w:hAnsi="宋体"/>
                <w:sz w:val="24"/>
              </w:rPr>
              <w:t xml:space="preserve">    要</w:t>
            </w:r>
            <w:r>
              <w:rPr>
                <w:rFonts w:ascii="宋体" w:eastAsia="宋体" w:hAnsi="宋体"/>
                <w:sz w:val="24"/>
              </w:rPr>
              <w:tab/>
            </w:r>
          </w:p>
          <w:p w:rsidR="00993D05" w:rsidRPr="00993D05" w:rsidRDefault="00993D05" w:rsidP="00993D05">
            <w:pPr>
              <w:rPr>
                <w:rFonts w:ascii="宋体" w:eastAsia="宋体" w:hAnsi="宋体"/>
                <w:sz w:val="24"/>
              </w:rPr>
            </w:pPr>
            <w:r>
              <w:rPr>
                <w:rFonts w:ascii="宋体" w:eastAsia="宋体" w:hAnsi="宋体"/>
                <w:sz w:val="24"/>
              </w:rPr>
              <w:t>Abstract</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1  绪论</w:t>
            </w:r>
            <w:r w:rsidRPr="00993D05">
              <w:rPr>
                <w:rFonts w:ascii="宋体" w:eastAsia="宋体" w:hAnsi="宋体"/>
                <w:sz w:val="24"/>
              </w:rPr>
              <w:tab/>
            </w:r>
          </w:p>
          <w:p w:rsidR="00993D05" w:rsidRDefault="00993D05" w:rsidP="00993D05">
            <w:pPr>
              <w:rPr>
                <w:rFonts w:ascii="宋体" w:eastAsia="宋体" w:hAnsi="宋体" w:hint="eastAsia"/>
                <w:sz w:val="24"/>
              </w:rPr>
            </w:pPr>
            <w:r w:rsidRPr="00993D05">
              <w:rPr>
                <w:rFonts w:ascii="宋体" w:eastAsia="宋体" w:hAnsi="宋体"/>
                <w:sz w:val="24"/>
              </w:rPr>
              <w:t>1.1  研究背景和意义</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1.1.1  研究背景</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1.1.2  研究意义</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1.2  相关文献综述</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1.2.1  纳入政策因素的对外直接投资理论研究</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1.2.2  经济政策</w:t>
            </w:r>
            <w:proofErr w:type="gramStart"/>
            <w:r w:rsidRPr="00993D05">
              <w:rPr>
                <w:rFonts w:ascii="宋体" w:eastAsia="宋体" w:hAnsi="宋体"/>
                <w:sz w:val="24"/>
              </w:rPr>
              <w:t>响对外</w:t>
            </w:r>
            <w:proofErr w:type="gramEnd"/>
            <w:r w:rsidRPr="00993D05">
              <w:rPr>
                <w:rFonts w:ascii="宋体" w:eastAsia="宋体" w:hAnsi="宋体"/>
                <w:sz w:val="24"/>
              </w:rPr>
              <w:t>直接投资的理论机制</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 xml:space="preserve">1.2.3  </w:t>
            </w:r>
            <w:r>
              <w:rPr>
                <w:rFonts w:ascii="宋体" w:eastAsia="宋体" w:hAnsi="宋体"/>
                <w:sz w:val="24"/>
              </w:rPr>
              <w:t>现有研究评述</w:t>
            </w:r>
          </w:p>
          <w:p w:rsidR="00993D05" w:rsidRPr="00993D05" w:rsidRDefault="00993D05" w:rsidP="00993D05">
            <w:pPr>
              <w:rPr>
                <w:rFonts w:ascii="宋体" w:eastAsia="宋体" w:hAnsi="宋体"/>
                <w:sz w:val="24"/>
              </w:rPr>
            </w:pPr>
            <w:r w:rsidRPr="00993D05">
              <w:rPr>
                <w:rFonts w:ascii="宋体" w:eastAsia="宋体" w:hAnsi="宋体"/>
                <w:sz w:val="24"/>
              </w:rPr>
              <w:t>1.3  论文框架与研究方法</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1.3.1  研究内容</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1.3.2  研究方法</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1.4  主要创新点</w:t>
            </w:r>
            <w:r w:rsidRPr="00993D05">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2  理论机制与研究假设</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2.1  中国对外直接投资的典型特征</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2.2  本国经济政策环境影响企业OFDI绩效的机制</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 xml:space="preserve">2.3  </w:t>
            </w:r>
            <w:r w:rsidR="00A14B40">
              <w:rPr>
                <w:rFonts w:ascii="宋体" w:eastAsia="宋体" w:hAnsi="宋体"/>
                <w:sz w:val="24"/>
              </w:rPr>
              <w:t>不同</w:t>
            </w:r>
            <w:r w:rsidRPr="00993D05">
              <w:rPr>
                <w:rFonts w:ascii="宋体" w:eastAsia="宋体" w:hAnsi="宋体"/>
                <w:sz w:val="24"/>
              </w:rPr>
              <w:t>地区制度环境异质性对企业OFDI绩效的影响</w:t>
            </w:r>
            <w:r>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3  本国经济政策环境变量的测算</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3.1  本国经济政策环境的度量</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3.2  企业层面制度环境水平的测算</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3.2.1  企业制度环境依赖性指标</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3.2.2  省际制度环境水平指标</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4  实证研究设计</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4.1  数据来源</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4.2  变量说明</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4.3  模型构建</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5  实证检验与结果分析</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5.1  基准回归</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lastRenderedPageBreak/>
              <w:t>5.2  本国经济政策环境对企业OFDI绩效的影响</w:t>
            </w:r>
            <w:r w:rsidR="00A14B40">
              <w:rPr>
                <w:rFonts w:ascii="宋体" w:eastAsia="宋体" w:hAnsi="宋体"/>
                <w:sz w:val="24"/>
              </w:rPr>
              <w:tab/>
            </w:r>
            <w:r w:rsidR="00A14B40">
              <w:rPr>
                <w:rFonts w:ascii="宋体" w:eastAsia="宋体" w:hAnsi="宋体"/>
                <w:sz w:val="24"/>
              </w:rPr>
              <w:tab/>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5.3  稳健性检验</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6  研究结论与政策建议</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6.1  研究结论</w:t>
            </w:r>
            <w:r w:rsidR="00A14B40">
              <w:rPr>
                <w:rFonts w:ascii="宋体" w:eastAsia="宋体" w:hAnsi="宋体"/>
                <w:sz w:val="24"/>
              </w:rPr>
              <w:tab/>
            </w:r>
          </w:p>
          <w:p w:rsidR="00993D05" w:rsidRPr="00993D05" w:rsidRDefault="00993D05" w:rsidP="00993D05">
            <w:pPr>
              <w:rPr>
                <w:rFonts w:ascii="宋体" w:eastAsia="宋体" w:hAnsi="宋体"/>
                <w:sz w:val="24"/>
              </w:rPr>
            </w:pPr>
            <w:r w:rsidRPr="00993D05">
              <w:rPr>
                <w:rFonts w:ascii="宋体" w:eastAsia="宋体" w:hAnsi="宋体"/>
                <w:sz w:val="24"/>
              </w:rPr>
              <w:t>6.2  政策建议</w:t>
            </w:r>
            <w:r w:rsidR="00A14B40">
              <w:rPr>
                <w:rFonts w:ascii="宋体" w:eastAsia="宋体" w:hAnsi="宋体"/>
                <w:sz w:val="24"/>
              </w:rPr>
              <w:tab/>
            </w:r>
          </w:p>
          <w:p w:rsidR="00AB5DD7" w:rsidRDefault="00993D05" w:rsidP="00993D05">
            <w:pPr>
              <w:rPr>
                <w:rFonts w:ascii="宋体" w:eastAsia="宋体" w:hAnsi="宋体" w:hint="eastAsia"/>
                <w:sz w:val="24"/>
              </w:rPr>
            </w:pPr>
            <w:r w:rsidRPr="00993D05">
              <w:rPr>
                <w:rFonts w:ascii="宋体" w:eastAsia="宋体" w:hAnsi="宋体" w:hint="eastAsia"/>
                <w:sz w:val="24"/>
              </w:rPr>
              <w:t>参</w:t>
            </w:r>
            <w:r w:rsidRPr="00993D05">
              <w:rPr>
                <w:rFonts w:ascii="宋体" w:eastAsia="宋体" w:hAnsi="宋体"/>
                <w:sz w:val="24"/>
              </w:rPr>
              <w:t xml:space="preserve"> 考 文 献</w:t>
            </w:r>
          </w:p>
          <w:p w:rsidR="00A14B40" w:rsidRPr="00AB5DD7" w:rsidRDefault="00A14B40" w:rsidP="00993D05">
            <w:pPr>
              <w:rPr>
                <w:rFonts w:ascii="宋体" w:eastAsia="宋体" w:hAnsi="宋体"/>
                <w:sz w:val="24"/>
              </w:rPr>
            </w:pPr>
            <w:r>
              <w:rPr>
                <w:rFonts w:ascii="宋体" w:eastAsia="宋体" w:hAnsi="宋体" w:hint="eastAsia"/>
                <w:sz w:val="24"/>
              </w:rPr>
              <w:t>致谢</w:t>
            </w:r>
          </w:p>
        </w:tc>
      </w:tr>
      <w:tr w:rsidR="00AB5DD7" w:rsidRPr="00AB5DD7" w:rsidTr="000D616E">
        <w:trPr>
          <w:trHeight w:val="2683"/>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rsidR="00A14B40" w:rsidRPr="000B6C7E" w:rsidRDefault="00A14B40" w:rsidP="00A14B40">
            <w:pPr>
              <w:pStyle w:val="a5"/>
              <w:ind w:leftChars="174" w:left="793" w:hangingChars="204" w:hanging="428"/>
              <w:jc w:val="both"/>
              <w:rPr>
                <w:color w:val="000000" w:themeColor="text1"/>
              </w:rPr>
            </w:pPr>
            <w:r w:rsidRPr="000B6C7E">
              <w:rPr>
                <w:color w:val="000000" w:themeColor="text1"/>
              </w:rPr>
              <w:t>1] North D C. Institutions, institutional change and economic performance [M]. Cambridge University Press, 1990.</w:t>
            </w:r>
          </w:p>
          <w:p w:rsidR="00A14B40" w:rsidRPr="000B6C7E" w:rsidRDefault="00A14B40" w:rsidP="00A14B40">
            <w:pPr>
              <w:pStyle w:val="a5"/>
              <w:ind w:leftChars="174" w:left="793" w:hangingChars="204" w:hanging="428"/>
              <w:jc w:val="both"/>
              <w:rPr>
                <w:color w:val="000000" w:themeColor="text1"/>
              </w:rPr>
            </w:pPr>
            <w:r w:rsidRPr="000B6C7E">
              <w:rPr>
                <w:color w:val="000000" w:themeColor="text1"/>
              </w:rPr>
              <w:t xml:space="preserve">[2] </w:t>
            </w:r>
            <w:r w:rsidRPr="000B6C7E">
              <w:rPr>
                <w:rFonts w:hint="eastAsia"/>
                <w:color w:val="000000" w:themeColor="text1"/>
              </w:rPr>
              <w:t>Meyer</w:t>
            </w:r>
            <w:r w:rsidRPr="000B6C7E">
              <w:rPr>
                <w:color w:val="000000" w:themeColor="text1"/>
              </w:rPr>
              <w:t xml:space="preserve"> K E</w:t>
            </w:r>
            <w:r w:rsidRPr="000B6C7E">
              <w:rPr>
                <w:rFonts w:hint="eastAsia"/>
                <w:color w:val="000000" w:themeColor="text1"/>
              </w:rPr>
              <w:t xml:space="preserve">. </w:t>
            </w:r>
            <w:r w:rsidRPr="000B6C7E">
              <w:rPr>
                <w:color w:val="000000" w:themeColor="text1"/>
              </w:rPr>
              <w:t xml:space="preserve">Institutions, transaction costs, and entry mode choice in </w:t>
            </w:r>
            <w:r w:rsidRPr="000B6C7E">
              <w:rPr>
                <w:rFonts w:hint="eastAsia"/>
                <w:color w:val="000000" w:themeColor="text1"/>
              </w:rPr>
              <w:t>Eastern Europe</w:t>
            </w:r>
            <w:r w:rsidRPr="000B6C7E">
              <w:rPr>
                <w:color w:val="000000" w:themeColor="text1"/>
              </w:rPr>
              <w:t xml:space="preserve"> </w:t>
            </w:r>
            <w:r w:rsidRPr="000B6C7E">
              <w:rPr>
                <w:rFonts w:hint="eastAsia"/>
                <w:color w:val="000000" w:themeColor="text1"/>
              </w:rPr>
              <w:t>[J]. Journal of International Business Studies, 2001, 32(2):357-367.</w:t>
            </w:r>
          </w:p>
          <w:p w:rsidR="00A14B40" w:rsidRPr="000B6C7E" w:rsidRDefault="00A14B40" w:rsidP="00A14B40">
            <w:pPr>
              <w:pStyle w:val="a5"/>
              <w:ind w:leftChars="174" w:left="793" w:hangingChars="204" w:hanging="428"/>
              <w:jc w:val="both"/>
              <w:rPr>
                <w:color w:val="000000" w:themeColor="text1"/>
              </w:rPr>
            </w:pPr>
            <w:r w:rsidRPr="000B6C7E">
              <w:rPr>
                <w:rFonts w:hint="eastAsia"/>
                <w:color w:val="000000" w:themeColor="text1"/>
              </w:rPr>
              <w:t>[</w:t>
            </w:r>
            <w:r w:rsidRPr="000B6C7E">
              <w:rPr>
                <w:color w:val="000000" w:themeColor="text1"/>
              </w:rPr>
              <w:t>3] Barney J. Firm resources and sustained competitive advantage [J]. Journal of Management, 1991, 17(1):99-120.</w:t>
            </w:r>
          </w:p>
          <w:p w:rsidR="00A14B40" w:rsidRDefault="00A14B40" w:rsidP="00A14B40">
            <w:pPr>
              <w:pStyle w:val="a5"/>
              <w:ind w:leftChars="174" w:left="793" w:hangingChars="204" w:hanging="428"/>
              <w:jc w:val="both"/>
              <w:rPr>
                <w:rFonts w:hint="eastAsia"/>
                <w:color w:val="000000" w:themeColor="text1"/>
              </w:rPr>
            </w:pPr>
            <w:r w:rsidRPr="000B6C7E">
              <w:rPr>
                <w:color w:val="000000" w:themeColor="text1"/>
              </w:rPr>
              <w:t>[4]</w:t>
            </w:r>
            <w:r w:rsidRPr="000B6C7E">
              <w:rPr>
                <w:rFonts w:hint="eastAsia"/>
                <w:color w:val="000000" w:themeColor="text1"/>
              </w:rPr>
              <w:t xml:space="preserve"> </w:t>
            </w:r>
            <w:proofErr w:type="spellStart"/>
            <w:r w:rsidRPr="000B6C7E">
              <w:rPr>
                <w:rFonts w:hint="eastAsia"/>
                <w:color w:val="000000" w:themeColor="text1"/>
              </w:rPr>
              <w:t>Hoopes</w:t>
            </w:r>
            <w:proofErr w:type="spellEnd"/>
            <w:r w:rsidRPr="000B6C7E">
              <w:rPr>
                <w:color w:val="000000" w:themeColor="text1"/>
              </w:rPr>
              <w:t xml:space="preserve"> D G</w:t>
            </w:r>
            <w:r w:rsidRPr="000B6C7E">
              <w:rPr>
                <w:rFonts w:hint="eastAsia"/>
                <w:color w:val="000000" w:themeColor="text1"/>
              </w:rPr>
              <w:t>, Madsen</w:t>
            </w:r>
            <w:r w:rsidRPr="000B6C7E">
              <w:rPr>
                <w:color w:val="000000" w:themeColor="text1"/>
              </w:rPr>
              <w:t xml:space="preserve"> T L</w:t>
            </w:r>
            <w:r w:rsidRPr="000B6C7E">
              <w:rPr>
                <w:rFonts w:hint="eastAsia"/>
                <w:color w:val="000000" w:themeColor="text1"/>
              </w:rPr>
              <w:t>,</w:t>
            </w:r>
            <w:r w:rsidRPr="000B6C7E">
              <w:rPr>
                <w:color w:val="000000" w:themeColor="text1"/>
              </w:rPr>
              <w:t xml:space="preserve"> </w:t>
            </w:r>
            <w:r w:rsidRPr="000B6C7E">
              <w:rPr>
                <w:rFonts w:hint="eastAsia"/>
                <w:color w:val="000000" w:themeColor="text1"/>
              </w:rPr>
              <w:t>Walker</w:t>
            </w:r>
            <w:r w:rsidRPr="000B6C7E">
              <w:rPr>
                <w:color w:val="000000" w:themeColor="text1"/>
              </w:rPr>
              <w:t xml:space="preserve"> G</w:t>
            </w:r>
            <w:r w:rsidRPr="000B6C7E">
              <w:rPr>
                <w:rFonts w:hint="eastAsia"/>
                <w:color w:val="000000" w:themeColor="text1"/>
              </w:rPr>
              <w:t xml:space="preserve">. Guest </w:t>
            </w:r>
            <w:r w:rsidRPr="000B6C7E">
              <w:rPr>
                <w:color w:val="000000" w:themeColor="text1"/>
              </w:rPr>
              <w:t>editors' introduction to the special issue: why is there a resource</w:t>
            </w:r>
            <w:r w:rsidRPr="000B6C7E">
              <w:rPr>
                <w:rFonts w:hint="eastAsia"/>
                <w:color w:val="000000" w:themeColor="text1"/>
              </w:rPr>
              <w:t>‐</w:t>
            </w:r>
            <w:r w:rsidRPr="000B6C7E">
              <w:rPr>
                <w:color w:val="000000" w:themeColor="text1"/>
              </w:rPr>
              <w:t>based view</w:t>
            </w:r>
            <w:r w:rsidRPr="000B6C7E">
              <w:rPr>
                <w:rFonts w:hint="eastAsia"/>
                <w:color w:val="000000" w:themeColor="text1"/>
              </w:rPr>
              <w:t xml:space="preserve">? Toward a </w:t>
            </w:r>
            <w:r w:rsidRPr="000B6C7E">
              <w:rPr>
                <w:color w:val="000000" w:themeColor="text1"/>
              </w:rPr>
              <w:t>theory of competitive heterogeneity [</w:t>
            </w:r>
            <w:r w:rsidRPr="000B6C7E">
              <w:rPr>
                <w:rFonts w:hint="eastAsia"/>
                <w:color w:val="000000" w:themeColor="text1"/>
              </w:rPr>
              <w:t>J]. Strategic Management Journal, 2003, 24(10):889-902.</w:t>
            </w:r>
          </w:p>
          <w:p w:rsidR="00A14B40" w:rsidRDefault="00A14B40" w:rsidP="00A14B40">
            <w:pPr>
              <w:pStyle w:val="a5"/>
              <w:ind w:leftChars="174" w:left="793" w:hangingChars="204" w:hanging="428"/>
              <w:jc w:val="both"/>
              <w:rPr>
                <w:rFonts w:hint="eastAsia"/>
                <w:color w:val="000000" w:themeColor="text1"/>
              </w:rPr>
            </w:pPr>
            <w:r>
              <w:rPr>
                <w:color w:val="000000" w:themeColor="text1"/>
              </w:rPr>
              <w:t>[</w:t>
            </w:r>
            <w:r>
              <w:rPr>
                <w:rFonts w:hint="eastAsia"/>
                <w:color w:val="000000" w:themeColor="text1"/>
              </w:rPr>
              <w:t>5</w:t>
            </w:r>
            <w:r w:rsidRPr="000B6C7E">
              <w:rPr>
                <w:color w:val="000000" w:themeColor="text1"/>
              </w:rPr>
              <w:t>]</w:t>
            </w:r>
            <w:r w:rsidRPr="000B6C7E">
              <w:rPr>
                <w:rFonts w:hint="eastAsia"/>
                <w:color w:val="000000" w:themeColor="text1"/>
              </w:rPr>
              <w:t>姜建刚,王柳娟.经济制度与OFDI的关系研究[J].世界经济研究,2014</w:t>
            </w:r>
            <w:r w:rsidRPr="000B6C7E">
              <w:rPr>
                <w:color w:val="000000" w:themeColor="text1"/>
              </w:rPr>
              <w:t>(</w:t>
            </w:r>
            <w:r w:rsidRPr="000B6C7E">
              <w:rPr>
                <w:rFonts w:hint="eastAsia"/>
                <w:color w:val="000000" w:themeColor="text1"/>
              </w:rPr>
              <w:t>1):59-65.</w:t>
            </w:r>
          </w:p>
          <w:p w:rsidR="00A14B40" w:rsidRPr="000B6C7E" w:rsidRDefault="00A14B40" w:rsidP="00A14B40">
            <w:pPr>
              <w:pStyle w:val="a5"/>
              <w:ind w:leftChars="174" w:left="793" w:hangingChars="204" w:hanging="428"/>
              <w:jc w:val="both"/>
              <w:rPr>
                <w:color w:val="000000" w:themeColor="text1"/>
              </w:rPr>
            </w:pPr>
            <w:r>
              <w:rPr>
                <w:color w:val="000000" w:themeColor="text1"/>
              </w:rPr>
              <w:t>[</w:t>
            </w:r>
            <w:r>
              <w:rPr>
                <w:rFonts w:hint="eastAsia"/>
                <w:color w:val="000000" w:themeColor="text1"/>
              </w:rPr>
              <w:t>6</w:t>
            </w:r>
            <w:r w:rsidRPr="000B6C7E">
              <w:rPr>
                <w:color w:val="000000" w:themeColor="text1"/>
              </w:rPr>
              <w:t>]</w:t>
            </w:r>
            <w:r w:rsidRPr="000B6C7E">
              <w:rPr>
                <w:rFonts w:hint="eastAsia"/>
                <w:color w:val="000000" w:themeColor="text1"/>
              </w:rPr>
              <w:t>齐晓飞,关鑫.中国企业对外直接投资的母国制度解释——基于OFDI-S模型的理论分析[J].经济与管理研究,2017,38(8):115-123.</w:t>
            </w:r>
          </w:p>
          <w:p w:rsidR="00A14B40" w:rsidRDefault="00A14B40" w:rsidP="00A14B40">
            <w:pPr>
              <w:pStyle w:val="a5"/>
              <w:ind w:leftChars="174" w:left="793" w:hangingChars="204" w:hanging="428"/>
              <w:jc w:val="both"/>
              <w:rPr>
                <w:rFonts w:hint="eastAsia"/>
                <w:color w:val="000000" w:themeColor="text1"/>
              </w:rPr>
            </w:pPr>
            <w:r>
              <w:rPr>
                <w:color w:val="000000" w:themeColor="text1"/>
              </w:rPr>
              <w:t>[</w:t>
            </w:r>
            <w:r w:rsidRPr="000B6C7E">
              <w:rPr>
                <w:color w:val="000000" w:themeColor="text1"/>
              </w:rPr>
              <w:t>7]</w:t>
            </w:r>
            <w:proofErr w:type="gramStart"/>
            <w:r w:rsidRPr="000B6C7E">
              <w:rPr>
                <w:rFonts w:hint="eastAsia"/>
                <w:color w:val="000000" w:themeColor="text1"/>
              </w:rPr>
              <w:t>冀相豹</w:t>
            </w:r>
            <w:proofErr w:type="gramEnd"/>
            <w:r w:rsidRPr="000B6C7E">
              <w:rPr>
                <w:rFonts w:hint="eastAsia"/>
                <w:color w:val="000000" w:themeColor="text1"/>
              </w:rPr>
              <w:t>.中国对外直接投资影响因素分析——基于制度的视角[J].国际贸易问题, 2014(9):98-108.</w:t>
            </w:r>
          </w:p>
          <w:p w:rsidR="00AB5DD7" w:rsidRPr="00014CA4" w:rsidRDefault="00A14B40" w:rsidP="00014CA4">
            <w:pPr>
              <w:pStyle w:val="a5"/>
              <w:ind w:leftChars="174" w:left="793" w:hangingChars="204" w:hanging="428"/>
              <w:jc w:val="both"/>
              <w:rPr>
                <w:color w:val="000000" w:themeColor="text1"/>
              </w:rPr>
            </w:pPr>
            <w:r w:rsidRPr="000B6C7E">
              <w:rPr>
                <w:rFonts w:hint="eastAsia"/>
                <w:color w:val="000000" w:themeColor="text1"/>
              </w:rPr>
              <w:t>[</w:t>
            </w:r>
            <w:r>
              <w:rPr>
                <w:rFonts w:hint="eastAsia"/>
                <w:color w:val="000000" w:themeColor="text1"/>
              </w:rPr>
              <w:t>8</w:t>
            </w:r>
            <w:r w:rsidRPr="000B6C7E">
              <w:rPr>
                <w:rFonts w:hint="eastAsia"/>
                <w:color w:val="000000" w:themeColor="text1"/>
              </w:rPr>
              <w:t>]</w:t>
            </w:r>
            <w:r w:rsidRPr="000B6C7E">
              <w:rPr>
                <w:rFonts w:hint="eastAsia"/>
                <w:color w:val="000000" w:themeColor="text1"/>
              </w:rPr>
              <w:tab/>
              <w:t>林毅夫,刘明兴,章奇.政策性负担与企业的预算软约束:来自中国的实证研究[J].管理世界, 2004(8):81-89,127.</w:t>
            </w:r>
          </w:p>
        </w:tc>
      </w:tr>
    </w:tbl>
    <w:p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5D4" w:rsidRDefault="004005D4" w:rsidP="00AE059F">
      <w:r>
        <w:separator/>
      </w:r>
    </w:p>
  </w:endnote>
  <w:endnote w:type="continuationSeparator" w:id="0">
    <w:p w:rsidR="004005D4" w:rsidRDefault="004005D4" w:rsidP="00AE059F">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5D4" w:rsidRDefault="004005D4" w:rsidP="00AE059F">
      <w:r>
        <w:separator/>
      </w:r>
    </w:p>
  </w:footnote>
  <w:footnote w:type="continuationSeparator" w:id="0">
    <w:p w:rsidR="004005D4" w:rsidRDefault="004005D4" w:rsidP="00AE05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00014CA4"/>
    <w:rsid w:val="00050064"/>
    <w:rsid w:val="000D616E"/>
    <w:rsid w:val="00111AC2"/>
    <w:rsid w:val="001C3791"/>
    <w:rsid w:val="001D4ABC"/>
    <w:rsid w:val="001F2172"/>
    <w:rsid w:val="0026386D"/>
    <w:rsid w:val="003C213C"/>
    <w:rsid w:val="004005D4"/>
    <w:rsid w:val="004A53D9"/>
    <w:rsid w:val="00556D05"/>
    <w:rsid w:val="00761113"/>
    <w:rsid w:val="00786316"/>
    <w:rsid w:val="00804B8C"/>
    <w:rsid w:val="00807310"/>
    <w:rsid w:val="008516F0"/>
    <w:rsid w:val="00917AE6"/>
    <w:rsid w:val="00993D05"/>
    <w:rsid w:val="009D0666"/>
    <w:rsid w:val="00A14B40"/>
    <w:rsid w:val="00A32456"/>
    <w:rsid w:val="00AB5DD7"/>
    <w:rsid w:val="00AE059F"/>
    <w:rsid w:val="00E57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0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05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059F"/>
    <w:rPr>
      <w:sz w:val="18"/>
      <w:szCs w:val="18"/>
    </w:rPr>
  </w:style>
  <w:style w:type="paragraph" w:styleId="a4">
    <w:name w:val="footer"/>
    <w:basedOn w:val="a"/>
    <w:link w:val="Char0"/>
    <w:uiPriority w:val="99"/>
    <w:semiHidden/>
    <w:unhideWhenUsed/>
    <w:rsid w:val="00AE05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059F"/>
    <w:rPr>
      <w:sz w:val="18"/>
      <w:szCs w:val="18"/>
    </w:rPr>
  </w:style>
  <w:style w:type="paragraph" w:customStyle="1" w:styleId="a5">
    <w:name w:val="参考文献正文"/>
    <w:basedOn w:val="a"/>
    <w:link w:val="Char1"/>
    <w:qFormat/>
    <w:rsid w:val="00A14B40"/>
    <w:pPr>
      <w:widowControl/>
      <w:snapToGrid w:val="0"/>
      <w:spacing w:line="300" w:lineRule="auto"/>
      <w:ind w:firstLineChars="200" w:firstLine="480"/>
      <w:jc w:val="left"/>
    </w:pPr>
    <w:rPr>
      <w:rFonts w:ascii="宋体" w:eastAsia="宋体" w:hAnsi="宋体" w:cs="Times New Roman"/>
      <w:kern w:val="0"/>
      <w:szCs w:val="21"/>
      <w:lang w:bidi="en-US"/>
    </w:rPr>
  </w:style>
  <w:style w:type="character" w:customStyle="1" w:styleId="Char1">
    <w:name w:val="参考文献正文 Char"/>
    <w:link w:val="a5"/>
    <w:rsid w:val="00A14B40"/>
    <w:rPr>
      <w:rFonts w:ascii="宋体" w:eastAsia="宋体" w:hAnsi="宋体" w:cs="Times New Roman"/>
      <w:kern w:val="0"/>
      <w:szCs w:val="21"/>
      <w:lang w:bidi="en-US"/>
    </w:rPr>
  </w:style>
</w:styles>
</file>

<file path=word/webSettings.xml><?xml version="1.0" encoding="utf-8"?>
<w:webSettings xmlns:r="http://schemas.openxmlformats.org/officeDocument/2006/relationships" xmlns:w="http://schemas.openxmlformats.org/wordprocessingml/2006/main">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378</Words>
  <Characters>2155</Characters>
  <Application>Microsoft Office Word</Application>
  <DocSecurity>0</DocSecurity>
  <Lines>17</Lines>
  <Paragraphs>5</Paragraphs>
  <ScaleCrop>false</ScaleCrop>
  <Company>Users</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Windows User</cp:lastModifiedBy>
  <cp:revision>2</cp:revision>
  <dcterms:created xsi:type="dcterms:W3CDTF">2021-05-26T12:16:00Z</dcterms:created>
  <dcterms:modified xsi:type="dcterms:W3CDTF">2021-05-26T12:16:00Z</dcterms:modified>
</cp:coreProperties>
</file>