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81040822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冯晓红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15611886213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fxh0536@163.com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福建师范大学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财务管理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大家信科有限责任公司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本人冯晓红，1987出生，籍贯山东潍坊，2007-2011年就读于福建省福建师范大学。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2011年4月-2014年5月就职于福建师范大学后勤财务处，任会计岗位；2015年9月-至今，就职于原安邦保险集团现大家保险集团旗下大家信科，任移动开发岗。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互联网经济下企业财务管理问题及对策研究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消费导刊2021年第09期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经济是互联网迅速发展形势下产生的一种新经济现象。财务管理是在一定整体目标下关于投资、筹资和运营资金以及利润分配的管理。随着互联网经济的迅猛发展，开放的互联网环境给企业财务管理工作带来了诸多便利的同时，也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带来了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许多问题，面对这些问题企业应做出相应的解决策略。本文主要分析互联网经济下财务管理的相关问题，并提出针对性的优化策略。</w:t>
            </w:r>
          </w:p>
        </w:tc>
      </w:tr>
    </w:tbl>
    <w:p/>
    <w:tbl>
      <w:tblPr>
        <w:tblStyle w:val="4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网络经济学互联网金融方向</w:t>
            </w:r>
          </w:p>
        </w:tc>
      </w:tr>
      <w:tr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eastAsia="zh-CN"/>
              </w:rPr>
              <w:t>疫情期间，“互联网+”对经济增长的推动作用凸显，也让人们对“互联网+”有了更深刻的认识，本片文章主要研究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移动互联网对西南地区农产品电商发展的推进作用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。移动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经济下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信息的不对称性格局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被打破，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得以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快速传递，信息资源被广泛共享，信息来源和获取信息的方法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开始更多地向电子化、虚拟化靠近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由此产生的海量大数据被充分整合利用，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使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资源利用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趋向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最大化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，大大推进了农产品电商的发展。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  <w:lang w:val="en-US" w:eastAsia="zh-CN"/>
              </w:rPr>
              <w:t>疫情下移动互联网对西南地区农产品电商发展的推进作用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绪论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1.1研究背景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1.2研究意义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1.3研究思路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1.4本文的创新之处与不足之处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文献综述与理论基础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2.1基本概念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2.2文献综述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2.3移动互联网+金融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2.4移动互联网+物流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2.5交易成本理论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</w:t>
            </w:r>
            <w:r>
              <w:rPr>
                <w:rFonts w:ascii="宋体" w:hAnsi="宋体" w:eastAsia="宋体"/>
                <w:sz w:val="24"/>
              </w:rPr>
              <w:t>6</w:t>
            </w:r>
            <w:r>
              <w:rPr>
                <w:rFonts w:ascii="宋体" w:hAnsi="宋体" w:eastAsia="宋体"/>
                <w:sz w:val="24"/>
              </w:rPr>
              <w:t>效用最大化理论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2.7 反馈营销理论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指标构建与样本选取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3.1被解释变量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3.1.1 农产品电商的持续发展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3.1.2</w:t>
            </w:r>
            <w:r>
              <w:rPr>
                <w:rFonts w:ascii="宋体" w:hAnsi="宋体" w:eastAsia="宋体"/>
                <w:sz w:val="24"/>
              </w:rPr>
              <w:t>农产品电商模式及发展现状分析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3.2解释变量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3.2.1 移动互联网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</w:t>
            </w:r>
            <w:r>
              <w:rPr>
                <w:rFonts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疫情+移动互联网环境下消费者行为与消费特征的变化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</w:t>
            </w:r>
            <w:r>
              <w:rPr>
                <w:rFonts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.</w:t>
            </w:r>
            <w:r>
              <w:rPr>
                <w:rFonts w:ascii="宋体" w:hAnsi="宋体" w:eastAsia="宋体"/>
                <w:sz w:val="24"/>
              </w:rPr>
              <w:t>3</w:t>
            </w:r>
            <w:r>
              <w:rPr>
                <w:rFonts w:ascii="宋体" w:hAnsi="宋体" w:eastAsia="宋体"/>
                <w:sz w:val="24"/>
              </w:rPr>
              <w:t>疫情+移动互联网环境下农产品市场定位的变化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3.3控制变量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3.3.1 移动端金融支付-支付宝和微信等移动互联网支付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3.3.2 移动互联网+物流-高速便捷的新型的物流组织模式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3.4样本选取与数据来源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3.4.1以云南和贵州的农产品电商为样本</w:t>
            </w:r>
          </w:p>
          <w:p>
            <w:pPr>
              <w:numPr>
                <w:ilvl w:val="0"/>
                <w:numId w:val="0"/>
              </w:numPr>
              <w:ind w:firstLine="787" w:firstLineChars="328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3.4.2 数据来源为京东、抖音、淘宝等移动互联网上云南和贵州地区农产品电商的销售数据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实证分析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4.1变量预处理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4.2模型设定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4.3模型估计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4.4结果分析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研究结论与政策建议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5.1研究结论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5.2政策建议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参考文献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致谢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[1]阿里研究院著.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互联网+：未来空间无限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[M].北京 : 人民出版社, 2015.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谢念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.互联网背景下的区域传播力提升研究[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].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武汉大学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2015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]管春.互联网环境下农产品营销创新研究[D].南昌大学,20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任杰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.互联网金融：包容性增长的效应及风险分析[D].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北京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大学,20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br w:type="textWrapping"/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苹方-简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����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88F8D"/>
    <w:multiLevelType w:val="singleLevel"/>
    <w:tmpl w:val="60B88F8D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BFB8BD0"/>
    <w:rsid w:val="1DBD1B21"/>
    <w:rsid w:val="52DE3231"/>
    <w:rsid w:val="55E6685F"/>
    <w:rsid w:val="75B65408"/>
    <w:rsid w:val="7BDFAB17"/>
    <w:rsid w:val="7F5D6198"/>
    <w:rsid w:val="7FF7E404"/>
    <w:rsid w:val="9EBF8871"/>
    <w:rsid w:val="AC77AF6B"/>
    <w:rsid w:val="BFFF778C"/>
    <w:rsid w:val="D7AFD414"/>
    <w:rsid w:val="DCEED415"/>
    <w:rsid w:val="DFEF4FFA"/>
    <w:rsid w:val="E9710308"/>
    <w:rsid w:val="EBFB2B36"/>
    <w:rsid w:val="EDFF9169"/>
    <w:rsid w:val="EEF7C1A2"/>
    <w:rsid w:val="F6CE0097"/>
    <w:rsid w:val="F6FD2B5F"/>
    <w:rsid w:val="FABEC886"/>
    <w:rsid w:val="FF5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ScaleCrop>false</ScaleCrop>
  <LinksUpToDate>false</LinksUpToDate>
  <CharactersWithSpaces>471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2021-01-22T16:38:00Z</dcterms:created>
  <dc:creator>Qi Hang</dc:creator>
  <cp:lastModifiedBy>fengxiaohong</cp:lastModifiedBy>
  <dcterms:modified xsi:type="dcterms:W3CDTF">2021-06-22T22:59:07Z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