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D132" w14:textId="77777777" w:rsidR="00643BE4" w:rsidRDefault="00951C29">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4B18351E" w14:textId="77777777" w:rsidR="00643BE4" w:rsidRDefault="00643BE4">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643BE4" w14:paraId="56C594A8" w14:textId="77777777">
        <w:trPr>
          <w:trHeight w:val="680"/>
          <w:jc w:val="center"/>
        </w:trPr>
        <w:tc>
          <w:tcPr>
            <w:tcW w:w="2361" w:type="dxa"/>
            <w:vAlign w:val="center"/>
          </w:tcPr>
          <w:p w14:paraId="7ABAA473" w14:textId="77777777" w:rsidR="00643BE4" w:rsidRDefault="00951C29">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6543C6D6" w14:textId="77777777" w:rsidR="00643BE4" w:rsidRDefault="00951C29">
            <w:pPr>
              <w:rPr>
                <w:rFonts w:ascii="宋体" w:eastAsia="宋体" w:hAnsi="宋体"/>
                <w:sz w:val="24"/>
              </w:rPr>
            </w:pPr>
            <w:r>
              <w:rPr>
                <w:rFonts w:ascii="宋体" w:eastAsia="宋体" w:hAnsi="宋体" w:hint="eastAsia"/>
                <w:sz w:val="24"/>
              </w:rPr>
              <w:t>8</w:t>
            </w:r>
            <w:r>
              <w:rPr>
                <w:rFonts w:ascii="宋体" w:eastAsia="宋体" w:hAnsi="宋体"/>
                <w:sz w:val="24"/>
              </w:rPr>
              <w:t>1040831</w:t>
            </w:r>
          </w:p>
        </w:tc>
        <w:tc>
          <w:tcPr>
            <w:tcW w:w="1427" w:type="dxa"/>
            <w:gridSpan w:val="2"/>
            <w:vAlign w:val="center"/>
          </w:tcPr>
          <w:p w14:paraId="742FF1B5" w14:textId="77777777" w:rsidR="00643BE4" w:rsidRDefault="00951C29">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E589128" w14:textId="77777777" w:rsidR="00643BE4" w:rsidRDefault="00951C29">
            <w:pPr>
              <w:rPr>
                <w:rFonts w:ascii="宋体" w:eastAsia="宋体" w:hAnsi="宋体"/>
                <w:sz w:val="24"/>
              </w:rPr>
            </w:pPr>
            <w:r>
              <w:rPr>
                <w:rFonts w:ascii="宋体" w:eastAsia="宋体" w:hAnsi="宋体" w:hint="eastAsia"/>
                <w:sz w:val="24"/>
              </w:rPr>
              <w:t>崔利标</w:t>
            </w:r>
          </w:p>
        </w:tc>
      </w:tr>
      <w:tr w:rsidR="00643BE4" w14:paraId="1A672E05" w14:textId="77777777">
        <w:trPr>
          <w:trHeight w:val="680"/>
          <w:jc w:val="center"/>
        </w:trPr>
        <w:tc>
          <w:tcPr>
            <w:tcW w:w="2362" w:type="dxa"/>
            <w:vAlign w:val="center"/>
          </w:tcPr>
          <w:p w14:paraId="74E4C4E0" w14:textId="77777777" w:rsidR="00643BE4" w:rsidRDefault="00951C29">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14:paraId="0761A909" w14:textId="77777777" w:rsidR="00643BE4" w:rsidRDefault="00951C29">
            <w:pPr>
              <w:rPr>
                <w:rFonts w:ascii="宋体" w:eastAsia="宋体" w:hAnsi="宋体"/>
                <w:sz w:val="24"/>
              </w:rPr>
            </w:pPr>
            <w:r>
              <w:rPr>
                <w:rFonts w:ascii="宋体" w:eastAsia="宋体" w:hAnsi="宋体" w:hint="eastAsia"/>
                <w:sz w:val="24"/>
              </w:rPr>
              <w:t>北京</w:t>
            </w:r>
          </w:p>
        </w:tc>
        <w:tc>
          <w:tcPr>
            <w:tcW w:w="1427" w:type="dxa"/>
            <w:gridSpan w:val="2"/>
            <w:vAlign w:val="center"/>
          </w:tcPr>
          <w:p w14:paraId="489E61DC" w14:textId="77777777" w:rsidR="00643BE4" w:rsidRDefault="00951C29">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7F1D1979" w14:textId="77777777" w:rsidR="00643BE4" w:rsidRDefault="00951C29">
            <w:pPr>
              <w:rPr>
                <w:rFonts w:ascii="宋体" w:eastAsia="宋体" w:hAnsi="宋体"/>
                <w:sz w:val="24"/>
              </w:rPr>
            </w:pPr>
            <w:r>
              <w:rPr>
                <w:rFonts w:ascii="宋体" w:eastAsia="宋体" w:hAnsi="宋体" w:hint="eastAsia"/>
                <w:sz w:val="24"/>
              </w:rPr>
              <w:t>网络经济学</w:t>
            </w:r>
          </w:p>
        </w:tc>
      </w:tr>
      <w:tr w:rsidR="00643BE4" w14:paraId="082F16C0" w14:textId="77777777">
        <w:trPr>
          <w:trHeight w:val="680"/>
          <w:jc w:val="center"/>
        </w:trPr>
        <w:tc>
          <w:tcPr>
            <w:tcW w:w="2362" w:type="dxa"/>
            <w:vAlign w:val="center"/>
          </w:tcPr>
          <w:p w14:paraId="035D416C" w14:textId="77777777" w:rsidR="00643BE4" w:rsidRDefault="00951C29">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14:paraId="2BA38A47" w14:textId="77777777" w:rsidR="00643BE4" w:rsidRDefault="00951C29">
            <w:pPr>
              <w:rPr>
                <w:rFonts w:ascii="宋体" w:eastAsia="宋体" w:hAnsi="宋体"/>
                <w:sz w:val="24"/>
              </w:rPr>
            </w:pPr>
            <w:r>
              <w:rPr>
                <w:rFonts w:ascii="宋体" w:eastAsia="宋体" w:hAnsi="宋体" w:hint="eastAsia"/>
                <w:sz w:val="24"/>
              </w:rPr>
              <w:t>1</w:t>
            </w:r>
            <w:r>
              <w:rPr>
                <w:rFonts w:ascii="宋体" w:eastAsia="宋体" w:hAnsi="宋体"/>
                <w:sz w:val="24"/>
              </w:rPr>
              <w:t>3801358996</w:t>
            </w:r>
          </w:p>
        </w:tc>
        <w:tc>
          <w:tcPr>
            <w:tcW w:w="1427" w:type="dxa"/>
            <w:gridSpan w:val="2"/>
            <w:vAlign w:val="center"/>
          </w:tcPr>
          <w:p w14:paraId="3BFC888E" w14:textId="77777777" w:rsidR="00643BE4" w:rsidRDefault="00951C29">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620F835B" w14:textId="77777777" w:rsidR="00643BE4" w:rsidRDefault="00951C29">
            <w:pPr>
              <w:rPr>
                <w:rFonts w:ascii="宋体" w:eastAsia="宋体" w:hAnsi="宋体"/>
                <w:sz w:val="24"/>
              </w:rPr>
            </w:pPr>
            <w:r>
              <w:rPr>
                <w:rFonts w:ascii="宋体" w:eastAsia="宋体" w:hAnsi="宋体"/>
                <w:sz w:val="24"/>
              </w:rPr>
              <w:t>c</w:t>
            </w:r>
            <w:r>
              <w:rPr>
                <w:rFonts w:ascii="宋体" w:eastAsia="宋体" w:hAnsi="宋体" w:hint="eastAsia"/>
                <w:sz w:val="24"/>
              </w:rPr>
              <w:t>uiertiao</w:t>
            </w:r>
            <w:r>
              <w:rPr>
                <w:rFonts w:ascii="宋体" w:eastAsia="宋体" w:hAnsi="宋体"/>
                <w:sz w:val="24"/>
              </w:rPr>
              <w:t>@qq.com</w:t>
            </w:r>
          </w:p>
        </w:tc>
      </w:tr>
      <w:tr w:rsidR="00643BE4" w14:paraId="2F103775" w14:textId="77777777">
        <w:trPr>
          <w:trHeight w:val="680"/>
          <w:jc w:val="center"/>
        </w:trPr>
        <w:tc>
          <w:tcPr>
            <w:tcW w:w="2362" w:type="dxa"/>
            <w:vAlign w:val="center"/>
          </w:tcPr>
          <w:p w14:paraId="11886B51" w14:textId="77777777" w:rsidR="00643BE4" w:rsidRDefault="00951C29">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14:paraId="3989B24E" w14:textId="77777777" w:rsidR="00643BE4" w:rsidRDefault="00951C29">
            <w:pPr>
              <w:rPr>
                <w:rFonts w:ascii="宋体" w:eastAsia="宋体" w:hAnsi="宋体"/>
                <w:sz w:val="24"/>
              </w:rPr>
            </w:pPr>
            <w:r>
              <w:rPr>
                <w:rFonts w:ascii="宋体" w:eastAsia="宋体" w:hAnsi="宋体" w:hint="eastAsia"/>
                <w:sz w:val="24"/>
              </w:rPr>
              <w:t>重庆理工大学</w:t>
            </w:r>
          </w:p>
        </w:tc>
        <w:tc>
          <w:tcPr>
            <w:tcW w:w="1427" w:type="dxa"/>
            <w:gridSpan w:val="2"/>
            <w:vAlign w:val="center"/>
          </w:tcPr>
          <w:p w14:paraId="728A36CB" w14:textId="77777777" w:rsidR="00643BE4" w:rsidRDefault="00951C29">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3B650F7E" w14:textId="77777777" w:rsidR="00643BE4" w:rsidRDefault="00951C29">
            <w:pPr>
              <w:rPr>
                <w:rFonts w:ascii="宋体" w:eastAsia="宋体" w:hAnsi="宋体"/>
                <w:sz w:val="24"/>
              </w:rPr>
            </w:pPr>
            <w:r>
              <w:rPr>
                <w:rFonts w:ascii="宋体" w:eastAsia="宋体" w:hAnsi="宋体" w:hint="eastAsia"/>
                <w:sz w:val="24"/>
              </w:rPr>
              <w:t>投资经济</w:t>
            </w:r>
          </w:p>
        </w:tc>
      </w:tr>
      <w:tr w:rsidR="00643BE4" w14:paraId="3C6B3F50" w14:textId="77777777">
        <w:trPr>
          <w:trHeight w:val="680"/>
          <w:jc w:val="center"/>
        </w:trPr>
        <w:tc>
          <w:tcPr>
            <w:tcW w:w="2362" w:type="dxa"/>
            <w:vAlign w:val="center"/>
          </w:tcPr>
          <w:p w14:paraId="1C2C3F73" w14:textId="77777777" w:rsidR="00643BE4" w:rsidRDefault="00951C29">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14:paraId="688ADE3D" w14:textId="77777777" w:rsidR="00643BE4" w:rsidRDefault="00951C29">
            <w:pPr>
              <w:rPr>
                <w:rFonts w:ascii="宋体" w:eastAsia="宋体" w:hAnsi="宋体"/>
                <w:sz w:val="24"/>
              </w:rPr>
            </w:pPr>
            <w:r>
              <w:rPr>
                <w:rFonts w:ascii="宋体" w:eastAsia="宋体" w:hAnsi="宋体" w:hint="eastAsia"/>
                <w:sz w:val="24"/>
              </w:rPr>
              <w:t>北京首农电商科技有限公司</w:t>
            </w:r>
          </w:p>
        </w:tc>
        <w:tc>
          <w:tcPr>
            <w:tcW w:w="1427" w:type="dxa"/>
            <w:gridSpan w:val="2"/>
            <w:vAlign w:val="center"/>
          </w:tcPr>
          <w:p w14:paraId="327CC498" w14:textId="77777777" w:rsidR="00643BE4" w:rsidRDefault="00951C29">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778ECD69" w14:textId="77777777" w:rsidR="00643BE4" w:rsidRDefault="00951C29">
            <w:pPr>
              <w:rPr>
                <w:rFonts w:ascii="宋体" w:eastAsia="宋体" w:hAnsi="宋体"/>
                <w:sz w:val="24"/>
              </w:rPr>
            </w:pPr>
            <w:r>
              <w:rPr>
                <w:rFonts w:ascii="宋体" w:eastAsia="宋体" w:hAnsi="宋体" w:hint="eastAsia"/>
                <w:sz w:val="24"/>
              </w:rPr>
              <w:t>产品总监</w:t>
            </w:r>
          </w:p>
        </w:tc>
      </w:tr>
      <w:tr w:rsidR="00643BE4" w14:paraId="202B84B3" w14:textId="77777777">
        <w:trPr>
          <w:trHeight w:val="3948"/>
          <w:jc w:val="center"/>
        </w:trPr>
        <w:tc>
          <w:tcPr>
            <w:tcW w:w="2362" w:type="dxa"/>
            <w:vAlign w:val="center"/>
          </w:tcPr>
          <w:p w14:paraId="7968B7CD" w14:textId="77777777" w:rsidR="00643BE4" w:rsidRDefault="00951C29">
            <w:pPr>
              <w:jc w:val="center"/>
              <w:rPr>
                <w:rFonts w:ascii="宋体" w:eastAsia="宋体" w:hAnsi="宋体"/>
                <w:sz w:val="24"/>
              </w:rPr>
            </w:pPr>
            <w:r>
              <w:rPr>
                <w:rFonts w:ascii="宋体" w:eastAsia="宋体" w:hAnsi="宋体" w:hint="eastAsia"/>
                <w:sz w:val="24"/>
              </w:rPr>
              <w:t>个人简介和</w:t>
            </w:r>
          </w:p>
          <w:p w14:paraId="41602836" w14:textId="77777777" w:rsidR="00643BE4" w:rsidRDefault="00951C29">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14:paraId="20F37975" w14:textId="77777777" w:rsidR="00643BE4" w:rsidRDefault="00951C29">
            <w:pPr>
              <w:rPr>
                <w:rFonts w:ascii="宋体" w:eastAsia="宋体" w:hAnsi="宋体"/>
                <w:sz w:val="24"/>
              </w:rPr>
            </w:pPr>
            <w:r>
              <w:rPr>
                <w:rFonts w:ascii="宋体" w:eastAsia="宋体" w:hAnsi="宋体" w:hint="eastAsia"/>
                <w:sz w:val="24"/>
              </w:rPr>
              <w:t>本人先后就职于首农电商、万达集团、赛特集团、九城集团等上市企业从事产品规划与业务运营管理工作，具有丰富的互联网与电商行业从业经验。期间，本人作为产品团队负责人主导规划设计了多个公司的电商业务平台并成功上线商用。业务平台涉及电商B2B、B2C、O2O、跨境电商等多种产品形态，为公司生产运营提供了良好的I</w:t>
            </w:r>
            <w:r>
              <w:rPr>
                <w:rFonts w:ascii="宋体" w:eastAsia="宋体" w:hAnsi="宋体"/>
                <w:sz w:val="24"/>
              </w:rPr>
              <w:t>T</w:t>
            </w:r>
            <w:r>
              <w:rPr>
                <w:rFonts w:ascii="宋体" w:eastAsia="宋体" w:hAnsi="宋体" w:hint="eastAsia"/>
                <w:sz w:val="24"/>
              </w:rPr>
              <w:t>支撑。</w:t>
            </w:r>
          </w:p>
          <w:p w14:paraId="37874F2D" w14:textId="77777777" w:rsidR="00643BE4" w:rsidRDefault="00951C29">
            <w:pPr>
              <w:pStyle w:val="a4"/>
              <w:numPr>
                <w:ilvl w:val="3"/>
                <w:numId w:val="1"/>
              </w:numPr>
              <w:ind w:firstLineChars="0"/>
              <w:rPr>
                <w:rFonts w:ascii="宋体" w:eastAsia="宋体" w:hAnsi="宋体"/>
                <w:sz w:val="24"/>
              </w:rPr>
            </w:pPr>
            <w:r>
              <w:rPr>
                <w:rFonts w:ascii="宋体" w:eastAsia="宋体" w:hAnsi="宋体" w:hint="eastAsia"/>
                <w:sz w:val="24"/>
              </w:rPr>
              <w:t xml:space="preserve"> 北京首农电商科技有限公司 产品总监</w:t>
            </w:r>
          </w:p>
          <w:p w14:paraId="5CF54ABC" w14:textId="77777777" w:rsidR="00643BE4" w:rsidRDefault="00951C29">
            <w:pPr>
              <w:rPr>
                <w:rFonts w:ascii="宋体" w:eastAsia="宋体" w:hAnsi="宋体"/>
                <w:sz w:val="24"/>
              </w:rPr>
            </w:pPr>
            <w:r>
              <w:rPr>
                <w:rFonts w:ascii="宋体" w:eastAsia="宋体" w:hAnsi="宋体" w:hint="eastAsia"/>
                <w:sz w:val="24"/>
              </w:rPr>
              <w:t>2</w:t>
            </w:r>
            <w:r>
              <w:rPr>
                <w:rFonts w:ascii="宋体" w:eastAsia="宋体" w:hAnsi="宋体"/>
                <w:sz w:val="24"/>
              </w:rPr>
              <w:t xml:space="preserve">015.07-2016.07 </w:t>
            </w:r>
            <w:r>
              <w:rPr>
                <w:rFonts w:ascii="宋体" w:eastAsia="宋体" w:hAnsi="宋体" w:hint="eastAsia"/>
                <w:sz w:val="24"/>
              </w:rPr>
              <w:t>北京天天海淘科技有限公司 产品总监</w:t>
            </w:r>
          </w:p>
          <w:p w14:paraId="494102E3" w14:textId="77777777" w:rsidR="00643BE4" w:rsidRDefault="00951C29">
            <w:pPr>
              <w:pStyle w:val="a4"/>
              <w:numPr>
                <w:ilvl w:val="3"/>
                <w:numId w:val="2"/>
              </w:numPr>
              <w:ind w:firstLineChars="0"/>
              <w:rPr>
                <w:rFonts w:ascii="宋体" w:eastAsia="宋体" w:hAnsi="宋体"/>
                <w:sz w:val="24"/>
              </w:rPr>
            </w:pPr>
            <w:r>
              <w:rPr>
                <w:rFonts w:ascii="宋体" w:eastAsia="宋体" w:hAnsi="宋体" w:hint="eastAsia"/>
                <w:sz w:val="24"/>
              </w:rPr>
              <w:t xml:space="preserve"> 万达集团信息管理中心 产品经理</w:t>
            </w:r>
          </w:p>
          <w:p w14:paraId="5E188A37" w14:textId="77777777" w:rsidR="00643BE4" w:rsidRDefault="00951C29">
            <w:pPr>
              <w:pStyle w:val="a4"/>
              <w:numPr>
                <w:ilvl w:val="3"/>
                <w:numId w:val="3"/>
              </w:numPr>
              <w:ind w:firstLineChars="0"/>
              <w:rPr>
                <w:rFonts w:ascii="宋体" w:eastAsia="宋体" w:hAnsi="宋体"/>
                <w:sz w:val="24"/>
              </w:rPr>
            </w:pPr>
            <w:r>
              <w:rPr>
                <w:rFonts w:ascii="宋体" w:eastAsia="宋体" w:hAnsi="宋体" w:hint="eastAsia"/>
                <w:sz w:val="24"/>
              </w:rPr>
              <w:t xml:space="preserve"> 赛特集团电子商务公司 产品总监</w:t>
            </w:r>
          </w:p>
          <w:p w14:paraId="6E7B5252" w14:textId="77777777" w:rsidR="00643BE4" w:rsidRDefault="00951C29">
            <w:pPr>
              <w:pStyle w:val="a4"/>
              <w:numPr>
                <w:ilvl w:val="3"/>
                <w:numId w:val="4"/>
              </w:numPr>
              <w:ind w:firstLineChars="0"/>
              <w:rPr>
                <w:rFonts w:ascii="宋体" w:eastAsia="宋体" w:hAnsi="宋体"/>
                <w:sz w:val="24"/>
              </w:rPr>
            </w:pPr>
            <w:r>
              <w:rPr>
                <w:rFonts w:ascii="宋体" w:eastAsia="宋体" w:hAnsi="宋体" w:hint="eastAsia"/>
                <w:sz w:val="24"/>
              </w:rPr>
              <w:t xml:space="preserve"> 九城集团 产品总监</w:t>
            </w:r>
          </w:p>
          <w:p w14:paraId="0C11F4AD" w14:textId="77777777" w:rsidR="00643BE4" w:rsidRDefault="00951C29">
            <w:pPr>
              <w:rPr>
                <w:rFonts w:ascii="宋体" w:eastAsia="宋体" w:hAnsi="宋体"/>
                <w:sz w:val="24"/>
              </w:rPr>
            </w:pPr>
            <w:r>
              <w:rPr>
                <w:rFonts w:ascii="宋体" w:eastAsia="宋体" w:hAnsi="宋体" w:hint="eastAsia"/>
                <w:sz w:val="24"/>
              </w:rPr>
              <w:t>2</w:t>
            </w:r>
            <w:r>
              <w:rPr>
                <w:rFonts w:ascii="宋体" w:eastAsia="宋体" w:hAnsi="宋体"/>
                <w:sz w:val="24"/>
              </w:rPr>
              <w:t xml:space="preserve">005.04-2008.03 </w:t>
            </w:r>
            <w:r>
              <w:rPr>
                <w:rFonts w:ascii="宋体" w:eastAsia="宋体" w:hAnsi="宋体" w:hint="eastAsia"/>
                <w:sz w:val="24"/>
              </w:rPr>
              <w:t>二六三网络股份有限公司 运营总监</w:t>
            </w:r>
          </w:p>
          <w:p w14:paraId="27E43F15" w14:textId="77777777" w:rsidR="00643BE4" w:rsidRDefault="00951C29">
            <w:pPr>
              <w:rPr>
                <w:rFonts w:ascii="宋体" w:eastAsia="宋体" w:hAnsi="宋体"/>
                <w:sz w:val="24"/>
              </w:rPr>
            </w:pPr>
            <w:r>
              <w:rPr>
                <w:rFonts w:ascii="宋体" w:eastAsia="宋体" w:hAnsi="宋体"/>
                <w:sz w:val="24"/>
              </w:rPr>
              <w:t xml:space="preserve">2003.08-2005.04 </w:t>
            </w:r>
            <w:r>
              <w:rPr>
                <w:rFonts w:ascii="宋体" w:eastAsia="宋体" w:hAnsi="宋体" w:hint="eastAsia"/>
                <w:sz w:val="24"/>
              </w:rPr>
              <w:t>大田集团 部门经理/内训师</w:t>
            </w:r>
          </w:p>
          <w:p w14:paraId="7A54BEE0" w14:textId="77777777" w:rsidR="00643BE4" w:rsidRDefault="00951C29">
            <w:pPr>
              <w:rPr>
                <w:rFonts w:ascii="宋体" w:eastAsia="宋体" w:hAnsi="宋体"/>
                <w:sz w:val="24"/>
              </w:rPr>
            </w:pPr>
            <w:r>
              <w:rPr>
                <w:rFonts w:ascii="宋体" w:eastAsia="宋体" w:hAnsi="宋体" w:hint="eastAsia"/>
                <w:sz w:val="24"/>
              </w:rPr>
              <w:t>2</w:t>
            </w:r>
            <w:r>
              <w:rPr>
                <w:rFonts w:ascii="宋体" w:eastAsia="宋体" w:hAnsi="宋体"/>
                <w:sz w:val="24"/>
              </w:rPr>
              <w:t xml:space="preserve">000.07-2003.07 </w:t>
            </w:r>
            <w:r>
              <w:rPr>
                <w:rFonts w:ascii="宋体" w:eastAsia="宋体" w:hAnsi="宋体" w:hint="eastAsia"/>
                <w:sz w:val="24"/>
              </w:rPr>
              <w:t>华夏建通集团 策划专员</w:t>
            </w:r>
          </w:p>
        </w:tc>
      </w:tr>
      <w:tr w:rsidR="00643BE4" w14:paraId="428EC4CC" w14:textId="77777777">
        <w:trPr>
          <w:trHeight w:val="680"/>
          <w:jc w:val="center"/>
        </w:trPr>
        <w:tc>
          <w:tcPr>
            <w:tcW w:w="2362" w:type="dxa"/>
            <w:vAlign w:val="center"/>
          </w:tcPr>
          <w:p w14:paraId="408E7B1A" w14:textId="77777777" w:rsidR="00643BE4" w:rsidRDefault="00951C29">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35157780" w14:textId="77777777" w:rsidR="00643BE4" w:rsidRDefault="00951C29">
            <w:pPr>
              <w:jc w:val="center"/>
              <w:rPr>
                <w:rFonts w:ascii="宋体" w:eastAsia="宋体" w:hAnsi="宋体"/>
                <w:sz w:val="24"/>
              </w:rPr>
            </w:pPr>
            <w:r>
              <w:rPr>
                <w:rFonts w:ascii="宋体" w:eastAsia="宋体" w:hAnsi="宋体" w:hint="eastAsia"/>
                <w:sz w:val="24"/>
              </w:rPr>
              <w:t>是否</w:t>
            </w:r>
          </w:p>
          <w:p w14:paraId="1396484A" w14:textId="77777777" w:rsidR="00643BE4" w:rsidRDefault="00951C29">
            <w:pPr>
              <w:jc w:val="center"/>
              <w:rPr>
                <w:rFonts w:ascii="宋体" w:eastAsia="宋体" w:hAnsi="宋体"/>
                <w:sz w:val="24"/>
              </w:rPr>
            </w:pPr>
            <w:r>
              <w:rPr>
                <w:rFonts w:ascii="宋体" w:eastAsia="宋体" w:hAnsi="宋体" w:hint="eastAsia"/>
                <w:sz w:val="24"/>
              </w:rPr>
              <w:t>发表</w:t>
            </w:r>
          </w:p>
        </w:tc>
        <w:tc>
          <w:tcPr>
            <w:tcW w:w="1086" w:type="dxa"/>
            <w:vAlign w:val="center"/>
          </w:tcPr>
          <w:p w14:paraId="075FE9BF" w14:textId="77777777" w:rsidR="00643BE4" w:rsidRDefault="00951C29">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0596F3F8" w14:textId="77777777" w:rsidR="00643BE4" w:rsidRDefault="00951C29">
            <w:pPr>
              <w:jc w:val="center"/>
              <w:rPr>
                <w:rFonts w:ascii="宋体" w:eastAsia="宋体" w:hAnsi="宋体"/>
                <w:sz w:val="24"/>
              </w:rPr>
            </w:pPr>
            <w:r>
              <w:rPr>
                <w:rFonts w:ascii="宋体" w:eastAsia="宋体" w:hAnsi="宋体" w:hint="eastAsia"/>
                <w:sz w:val="24"/>
              </w:rPr>
              <w:t>是否</w:t>
            </w:r>
          </w:p>
          <w:p w14:paraId="0B1A31AF" w14:textId="77777777" w:rsidR="00643BE4" w:rsidRDefault="00951C29">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06F0D015" w14:textId="77777777" w:rsidR="00643BE4" w:rsidRDefault="00951C29">
            <w:pPr>
              <w:jc w:val="center"/>
              <w:rPr>
                <w:rFonts w:ascii="宋体" w:eastAsia="宋体" w:hAnsi="宋体"/>
                <w:sz w:val="24"/>
              </w:rPr>
            </w:pPr>
            <w:r>
              <w:rPr>
                <w:rFonts w:ascii="宋体" w:eastAsia="宋体" w:hAnsi="宋体" w:hint="eastAsia"/>
                <w:sz w:val="24"/>
              </w:rPr>
              <w:t>是</w:t>
            </w:r>
          </w:p>
        </w:tc>
        <w:tc>
          <w:tcPr>
            <w:tcW w:w="992" w:type="dxa"/>
            <w:vAlign w:val="center"/>
          </w:tcPr>
          <w:p w14:paraId="5F6B705F" w14:textId="77777777" w:rsidR="00643BE4" w:rsidRDefault="00951C29">
            <w:pPr>
              <w:jc w:val="center"/>
              <w:rPr>
                <w:rFonts w:ascii="宋体" w:eastAsia="宋体" w:hAnsi="宋体"/>
                <w:sz w:val="24"/>
              </w:rPr>
            </w:pPr>
            <w:r>
              <w:rPr>
                <w:rFonts w:ascii="宋体" w:eastAsia="宋体" w:hAnsi="宋体" w:hint="eastAsia"/>
                <w:sz w:val="24"/>
              </w:rPr>
              <w:t>发表</w:t>
            </w:r>
          </w:p>
          <w:p w14:paraId="37C2D5F0" w14:textId="77777777" w:rsidR="00643BE4" w:rsidRDefault="00951C29">
            <w:pPr>
              <w:jc w:val="center"/>
              <w:rPr>
                <w:rFonts w:ascii="宋体" w:eastAsia="宋体" w:hAnsi="宋体"/>
                <w:sz w:val="24"/>
              </w:rPr>
            </w:pPr>
            <w:r>
              <w:rPr>
                <w:rFonts w:ascii="宋体" w:eastAsia="宋体" w:hAnsi="宋体" w:hint="eastAsia"/>
                <w:sz w:val="24"/>
              </w:rPr>
              <w:t>字数</w:t>
            </w:r>
          </w:p>
        </w:tc>
        <w:tc>
          <w:tcPr>
            <w:tcW w:w="1269" w:type="dxa"/>
            <w:vAlign w:val="center"/>
          </w:tcPr>
          <w:p w14:paraId="48962178" w14:textId="77777777" w:rsidR="00643BE4" w:rsidRDefault="00951C29">
            <w:pPr>
              <w:jc w:val="center"/>
              <w:rPr>
                <w:rFonts w:ascii="宋体" w:eastAsia="宋体" w:hAnsi="宋体"/>
                <w:sz w:val="24"/>
              </w:rPr>
            </w:pPr>
            <w:r>
              <w:rPr>
                <w:rFonts w:ascii="宋体" w:eastAsia="宋体" w:hAnsi="宋体" w:hint="eastAsia"/>
                <w:sz w:val="24"/>
              </w:rPr>
              <w:t>3</w:t>
            </w:r>
            <w:r>
              <w:rPr>
                <w:rFonts w:ascii="宋体" w:eastAsia="宋体" w:hAnsi="宋体"/>
                <w:sz w:val="24"/>
              </w:rPr>
              <w:t>150</w:t>
            </w:r>
          </w:p>
        </w:tc>
      </w:tr>
      <w:tr w:rsidR="00643BE4" w14:paraId="049A0AF2" w14:textId="77777777">
        <w:trPr>
          <w:trHeight w:val="680"/>
          <w:jc w:val="center"/>
        </w:trPr>
        <w:tc>
          <w:tcPr>
            <w:tcW w:w="2362" w:type="dxa"/>
            <w:vAlign w:val="center"/>
          </w:tcPr>
          <w:p w14:paraId="7A209588" w14:textId="77777777" w:rsidR="00643BE4" w:rsidRDefault="00951C29">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14:paraId="4F1570ED" w14:textId="77777777" w:rsidR="00643BE4" w:rsidRDefault="00951C29">
            <w:pPr>
              <w:spacing w:beforeLines="50" w:before="156" w:afterLines="50" w:after="156" w:line="360" w:lineRule="auto"/>
              <w:jc w:val="left"/>
              <w:rPr>
                <w:rFonts w:ascii="宋体" w:eastAsia="宋体" w:hAnsi="宋体"/>
                <w:sz w:val="24"/>
              </w:rPr>
            </w:pPr>
            <w:r>
              <w:rPr>
                <w:rFonts w:ascii="宋体" w:eastAsia="宋体" w:hAnsi="宋体"/>
                <w:sz w:val="24"/>
              </w:rPr>
              <w:t>大数据视域下的网络经济发展趋势分析</w:t>
            </w:r>
          </w:p>
        </w:tc>
      </w:tr>
      <w:tr w:rsidR="00643BE4" w14:paraId="00F6792E" w14:textId="77777777">
        <w:trPr>
          <w:trHeight w:val="680"/>
          <w:jc w:val="center"/>
        </w:trPr>
        <w:tc>
          <w:tcPr>
            <w:tcW w:w="2362" w:type="dxa"/>
            <w:vAlign w:val="center"/>
          </w:tcPr>
          <w:p w14:paraId="24A28709" w14:textId="77777777" w:rsidR="00643BE4" w:rsidRDefault="00951C29">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14:paraId="0A2322B0" w14:textId="77777777" w:rsidR="00643BE4" w:rsidRDefault="00951C29">
            <w:pPr>
              <w:rPr>
                <w:rFonts w:ascii="宋体" w:eastAsia="宋体" w:hAnsi="宋体"/>
                <w:sz w:val="24"/>
              </w:rPr>
            </w:pPr>
            <w:r>
              <w:rPr>
                <w:rFonts w:ascii="宋体" w:eastAsia="宋体" w:hAnsi="宋体" w:hint="eastAsia"/>
                <w:sz w:val="24"/>
              </w:rPr>
              <w:t>《理财周刊》（国内刊号：31-1849/F）</w:t>
            </w:r>
          </w:p>
        </w:tc>
      </w:tr>
      <w:tr w:rsidR="00643BE4" w14:paraId="0CA36A02" w14:textId="77777777">
        <w:trPr>
          <w:trHeight w:val="3156"/>
          <w:jc w:val="center"/>
        </w:trPr>
        <w:tc>
          <w:tcPr>
            <w:tcW w:w="2362" w:type="dxa"/>
            <w:vAlign w:val="center"/>
          </w:tcPr>
          <w:p w14:paraId="0A9398E1" w14:textId="77777777" w:rsidR="00643BE4" w:rsidRDefault="00951C29">
            <w:pPr>
              <w:jc w:val="center"/>
              <w:rPr>
                <w:rFonts w:ascii="宋体" w:eastAsia="宋体" w:hAnsi="宋体"/>
                <w:sz w:val="24"/>
              </w:rPr>
            </w:pPr>
            <w:r>
              <w:rPr>
                <w:rFonts w:ascii="宋体" w:eastAsia="宋体" w:hAnsi="宋体" w:hint="eastAsia"/>
                <w:sz w:val="24"/>
              </w:rPr>
              <w:lastRenderedPageBreak/>
              <w:t>发表文章内容简介</w:t>
            </w:r>
          </w:p>
        </w:tc>
        <w:tc>
          <w:tcPr>
            <w:tcW w:w="6982" w:type="dxa"/>
            <w:gridSpan w:val="8"/>
            <w:vAlign w:val="center"/>
          </w:tcPr>
          <w:p w14:paraId="5B5CA7EF" w14:textId="77777777" w:rsidR="00643BE4" w:rsidRDefault="00951C29">
            <w:pPr>
              <w:rPr>
                <w:rFonts w:ascii="宋体" w:eastAsia="宋体" w:hAnsi="宋体"/>
                <w:sz w:val="24"/>
              </w:rPr>
            </w:pPr>
            <w:r>
              <w:rPr>
                <w:rFonts w:ascii="宋体" w:eastAsia="宋体" w:hAnsi="宋体" w:hint="eastAsia"/>
                <w:sz w:val="24"/>
              </w:rPr>
              <w:t>随着我国计算机技术、网络通信技术、云计算、大数据应用的迅速发展，社会生产及消费模式发生了深刻的变革，网络经济业态日新月异。本文通过对网络经济大数据的整理分析，尝试找出我国网络经济发展的核心驱动因素以及阻碍我国网络经济发展的消极因素并在此基础上预测了我国网络经济未来的发展趋势。</w:t>
            </w:r>
          </w:p>
        </w:tc>
      </w:tr>
    </w:tbl>
    <w:p w14:paraId="7426995A" w14:textId="77777777" w:rsidR="00643BE4" w:rsidRDefault="00643BE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643BE4" w14:paraId="2111E610" w14:textId="77777777">
        <w:trPr>
          <w:trHeight w:val="680"/>
          <w:jc w:val="center"/>
        </w:trPr>
        <w:tc>
          <w:tcPr>
            <w:tcW w:w="2362" w:type="dxa"/>
            <w:vAlign w:val="center"/>
          </w:tcPr>
          <w:p w14:paraId="07D60E9B" w14:textId="77777777" w:rsidR="00643BE4" w:rsidRDefault="00951C29">
            <w:pPr>
              <w:jc w:val="center"/>
              <w:rPr>
                <w:rFonts w:ascii="宋体" w:eastAsia="宋体" w:hAnsi="宋体"/>
                <w:sz w:val="24"/>
              </w:rPr>
            </w:pPr>
            <w:r>
              <w:rPr>
                <w:rFonts w:ascii="宋体" w:eastAsia="宋体" w:hAnsi="宋体" w:hint="eastAsia"/>
                <w:sz w:val="24"/>
              </w:rPr>
              <w:t>拟定学位论文</w:t>
            </w:r>
          </w:p>
          <w:p w14:paraId="39FAFBFE" w14:textId="77777777" w:rsidR="00643BE4" w:rsidRDefault="00951C29">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6CA21524" w14:textId="77777777" w:rsidR="00643BE4" w:rsidRDefault="00951C29">
            <w:pPr>
              <w:rPr>
                <w:rFonts w:ascii="宋体" w:eastAsia="宋体" w:hAnsi="宋体"/>
                <w:sz w:val="24"/>
              </w:rPr>
            </w:pPr>
            <w:r>
              <w:rPr>
                <w:rFonts w:ascii="宋体" w:eastAsia="宋体" w:hAnsi="宋体" w:hint="eastAsia"/>
                <w:sz w:val="24"/>
              </w:rPr>
              <w:t>生鲜食品网购行为研究</w:t>
            </w:r>
          </w:p>
        </w:tc>
      </w:tr>
      <w:tr w:rsidR="00643BE4" w14:paraId="6EB4F716" w14:textId="77777777">
        <w:trPr>
          <w:trHeight w:val="2560"/>
          <w:jc w:val="center"/>
        </w:trPr>
        <w:tc>
          <w:tcPr>
            <w:tcW w:w="2362" w:type="dxa"/>
            <w:vAlign w:val="center"/>
          </w:tcPr>
          <w:p w14:paraId="46B3C183" w14:textId="77777777" w:rsidR="00643BE4" w:rsidRDefault="00951C29">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7913A64A" w14:textId="1EAB08D9" w:rsidR="00643BE4" w:rsidRDefault="00951C29">
            <w:pPr>
              <w:rPr>
                <w:rFonts w:ascii="宋体" w:eastAsia="宋体" w:hAnsi="宋体"/>
                <w:sz w:val="24"/>
              </w:rPr>
            </w:pPr>
            <w:r>
              <w:rPr>
                <w:rFonts w:ascii="宋体" w:eastAsia="宋体" w:hAnsi="宋体" w:hint="eastAsia"/>
                <w:sz w:val="24"/>
              </w:rPr>
              <w:t>随着我国电商基础设施的不断完善，网购用户规模及渗透率逐年攀升，网购已经成为居民日常消费的重要途径。近几年，生鲜商品的网购规模呈现爆发增长的态势，</w:t>
            </w:r>
            <w:r w:rsidR="00405C1A">
              <w:rPr>
                <w:rFonts w:ascii="宋体" w:eastAsia="宋体" w:hAnsi="宋体" w:hint="eastAsia"/>
                <w:sz w:val="24"/>
              </w:rPr>
              <w:t>新的业态层出不穷，</w:t>
            </w:r>
            <w:r>
              <w:rPr>
                <w:rFonts w:ascii="宋体" w:eastAsia="宋体" w:hAnsi="宋体" w:hint="eastAsia"/>
                <w:sz w:val="24"/>
              </w:rPr>
              <w:t>特别是新冠疫情期间，生鲜网购因其非接触购物的特点为保障居民基本生活和社会稳定发挥了重要作用。然而，生鲜食品因其非标准化的特性而与其他商品的网购行为不同，</w:t>
            </w:r>
            <w:r w:rsidR="007E16D2">
              <w:rPr>
                <w:rFonts w:ascii="宋体" w:eastAsia="宋体" w:hAnsi="宋体" w:hint="eastAsia"/>
                <w:sz w:val="24"/>
              </w:rPr>
              <w:t>同时，线上生鲜食品占生鲜零售市场规模比重持续增长，2</w:t>
            </w:r>
            <w:r w:rsidR="007E16D2">
              <w:rPr>
                <w:rFonts w:ascii="宋体" w:eastAsia="宋体" w:hAnsi="宋体"/>
                <w:sz w:val="24"/>
              </w:rPr>
              <w:t>020</w:t>
            </w:r>
            <w:r w:rsidR="007E16D2">
              <w:rPr>
                <w:rFonts w:ascii="宋体" w:eastAsia="宋体" w:hAnsi="宋体" w:hint="eastAsia"/>
                <w:sz w:val="24"/>
              </w:rPr>
              <w:t>年占比已接近1</w:t>
            </w:r>
            <w:r w:rsidR="007E16D2">
              <w:rPr>
                <w:rFonts w:ascii="宋体" w:eastAsia="宋体" w:hAnsi="宋体"/>
                <w:sz w:val="24"/>
              </w:rPr>
              <w:t>5%</w:t>
            </w:r>
            <w:r w:rsidR="007E16D2">
              <w:rPr>
                <w:rFonts w:ascii="宋体" w:eastAsia="宋体" w:hAnsi="宋体" w:hint="eastAsia"/>
                <w:sz w:val="24"/>
              </w:rPr>
              <w:t>，</w:t>
            </w:r>
            <w:r>
              <w:rPr>
                <w:rFonts w:ascii="宋体" w:eastAsia="宋体" w:hAnsi="宋体" w:hint="eastAsia"/>
                <w:sz w:val="24"/>
              </w:rPr>
              <w:t>研究生鲜食品的网购渠道选择行为特征对于</w:t>
            </w:r>
            <w:r w:rsidR="007E16D2">
              <w:rPr>
                <w:rFonts w:ascii="宋体" w:eastAsia="宋体" w:hAnsi="宋体" w:hint="eastAsia"/>
                <w:sz w:val="24"/>
              </w:rPr>
              <w:t>生鲜食品零售企业充分利用网络渠道、制定网络营销策略有着重要的参考价值。</w:t>
            </w:r>
          </w:p>
          <w:p w14:paraId="227F2F12" w14:textId="77777777" w:rsidR="009E46EC" w:rsidRDefault="009E46EC">
            <w:pPr>
              <w:rPr>
                <w:rFonts w:ascii="宋体" w:eastAsia="宋体" w:hAnsi="宋体"/>
                <w:sz w:val="24"/>
              </w:rPr>
            </w:pPr>
          </w:p>
          <w:p w14:paraId="4328FA99" w14:textId="043D8EE6" w:rsidR="003A28DB" w:rsidRDefault="00951C29">
            <w:pPr>
              <w:rPr>
                <w:rFonts w:ascii="宋体" w:eastAsia="宋体" w:hAnsi="宋体"/>
                <w:sz w:val="24"/>
              </w:rPr>
            </w:pPr>
            <w:r>
              <w:rPr>
                <w:rFonts w:ascii="宋体" w:eastAsia="宋体" w:hAnsi="宋体" w:hint="eastAsia"/>
                <w:sz w:val="24"/>
              </w:rPr>
              <w:t>论文把经济学消费</w:t>
            </w:r>
            <w:r w:rsidR="0062251B">
              <w:rPr>
                <w:rFonts w:ascii="宋体" w:eastAsia="宋体" w:hAnsi="宋体" w:hint="eastAsia"/>
                <w:sz w:val="24"/>
              </w:rPr>
              <w:t>者</w:t>
            </w:r>
            <w:r>
              <w:rPr>
                <w:rFonts w:ascii="宋体" w:eastAsia="宋体" w:hAnsi="宋体" w:hint="eastAsia"/>
                <w:sz w:val="24"/>
              </w:rPr>
              <w:t>行为理论延伸到</w:t>
            </w:r>
            <w:r w:rsidR="0062251B">
              <w:rPr>
                <w:rFonts w:ascii="宋体" w:eastAsia="宋体" w:hAnsi="宋体" w:hint="eastAsia"/>
                <w:sz w:val="24"/>
              </w:rPr>
              <w:t>生鲜食品</w:t>
            </w:r>
            <w:r>
              <w:rPr>
                <w:rFonts w:ascii="宋体" w:eastAsia="宋体" w:hAnsi="宋体" w:hint="eastAsia"/>
                <w:sz w:val="24"/>
              </w:rPr>
              <w:t>网络购物渠道</w:t>
            </w:r>
            <w:r w:rsidR="0062251B">
              <w:rPr>
                <w:rFonts w:ascii="宋体" w:eastAsia="宋体" w:hAnsi="宋体" w:hint="eastAsia"/>
                <w:sz w:val="24"/>
              </w:rPr>
              <w:t>，根据消费者行为理论，消费者在选择渠道的时候会进行充分的比较并选择对自己价值最大化的渠道，那么，消费者在网购生鲜食品时感受到的价值</w:t>
            </w:r>
            <w:r w:rsidR="003A28DB">
              <w:rPr>
                <w:rFonts w:ascii="宋体" w:eastAsia="宋体" w:hAnsi="宋体" w:hint="eastAsia"/>
                <w:sz w:val="24"/>
              </w:rPr>
              <w:t>如何？不同网购渠道的感知价值有何不同？这种感知价值差异对消费者选择网购渠道时的影响又如何？除了消费者自身的因素，消费者所处的外部消费环境对网购渠道的选择又有什么样的影响？这给生鲜零售企业网络渠道的发展提出了新课题，也是本文的研究内容。</w:t>
            </w:r>
          </w:p>
          <w:p w14:paraId="489FBA5D" w14:textId="77777777" w:rsidR="009E46EC" w:rsidRDefault="009E46EC">
            <w:pPr>
              <w:rPr>
                <w:rFonts w:ascii="宋体" w:eastAsia="宋体" w:hAnsi="宋体"/>
                <w:sz w:val="24"/>
              </w:rPr>
            </w:pPr>
          </w:p>
          <w:p w14:paraId="49876CEA" w14:textId="13D242A2" w:rsidR="00643BE4" w:rsidRDefault="003A28DB">
            <w:pPr>
              <w:rPr>
                <w:rFonts w:ascii="宋体" w:eastAsia="宋体" w:hAnsi="宋体"/>
                <w:sz w:val="24"/>
              </w:rPr>
            </w:pPr>
            <w:r>
              <w:rPr>
                <w:rFonts w:ascii="宋体" w:eastAsia="宋体" w:hAnsi="宋体" w:hint="eastAsia"/>
                <w:sz w:val="24"/>
              </w:rPr>
              <w:t>目前针对生鲜网购行为的研究大多集中在特定消费品（生鲜食品）的网购行为特征研究，很少涉及不同网购渠道与消费者行为特征的关联性研究，本文从消费者的视角出发，在电子商务的大背景下深入研究消费者感知价值与</w:t>
            </w:r>
            <w:r w:rsidR="009E46EC">
              <w:rPr>
                <w:rFonts w:ascii="宋体" w:eastAsia="宋体" w:hAnsi="宋体" w:hint="eastAsia"/>
                <w:sz w:val="24"/>
              </w:rPr>
              <w:t>网购渠道选择行为之间的关系。与此同时，本文在感知价值理论基础上结合了网络外部性理论，并充分考虑的生鲜零售企业不同商业业态及渠道的特点，提出了在网络购物环境下，消费者对网购渠道的选择受商品质量感知、服务感知、便利性、价格、购物风险以及网络外部性影响的假设和模型，通过调查问卷的设计、发放、回收来获取研究数据，</w:t>
            </w:r>
            <w:r w:rsidR="00A645AA">
              <w:rPr>
                <w:rFonts w:ascii="宋体" w:eastAsia="宋体" w:hAnsi="宋体" w:hint="eastAsia"/>
                <w:sz w:val="24"/>
              </w:rPr>
              <w:t>通过结构化的方法处理数据，</w:t>
            </w:r>
            <w:r w:rsidR="009E46EC">
              <w:rPr>
                <w:rFonts w:ascii="宋体" w:eastAsia="宋体" w:hAnsi="宋体" w:hint="eastAsia"/>
                <w:sz w:val="24"/>
              </w:rPr>
              <w:t>并结合公开市场的生鲜电商研究报告对模型假设进行检验</w:t>
            </w:r>
            <w:r w:rsidR="00A645AA">
              <w:rPr>
                <w:rFonts w:ascii="宋体" w:eastAsia="宋体" w:hAnsi="宋体" w:hint="eastAsia"/>
                <w:sz w:val="24"/>
              </w:rPr>
              <w:t>并得出消费者网购生鲜食品时对渠道的选择与哪些变量呈正相关关系，与哪些变量呈负相关关系。</w:t>
            </w:r>
          </w:p>
          <w:p w14:paraId="0452EC77" w14:textId="7C4639C3" w:rsidR="00A645AA" w:rsidRDefault="00A645AA">
            <w:pPr>
              <w:rPr>
                <w:rFonts w:ascii="宋体" w:eastAsia="宋体" w:hAnsi="宋体"/>
                <w:sz w:val="24"/>
              </w:rPr>
            </w:pPr>
          </w:p>
          <w:p w14:paraId="01DF4DB6" w14:textId="69A5C8C6" w:rsidR="00A645AA" w:rsidRDefault="00A645AA">
            <w:pPr>
              <w:rPr>
                <w:rFonts w:ascii="宋体" w:eastAsia="宋体" w:hAnsi="宋体"/>
                <w:sz w:val="24"/>
              </w:rPr>
            </w:pPr>
            <w:r>
              <w:rPr>
                <w:rFonts w:ascii="宋体" w:eastAsia="宋体" w:hAnsi="宋体" w:hint="eastAsia"/>
                <w:sz w:val="24"/>
              </w:rPr>
              <w:lastRenderedPageBreak/>
              <w:t>最后，提出合理化建议，说明研究的不足并对消费者网</w:t>
            </w:r>
            <w:r w:rsidR="00D063B7">
              <w:rPr>
                <w:rFonts w:ascii="宋体" w:eastAsia="宋体" w:hAnsi="宋体" w:hint="eastAsia"/>
                <w:sz w:val="24"/>
              </w:rPr>
              <w:t>购</w:t>
            </w:r>
            <w:r>
              <w:rPr>
                <w:rFonts w:ascii="宋体" w:eastAsia="宋体" w:hAnsi="宋体" w:hint="eastAsia"/>
                <w:sz w:val="24"/>
              </w:rPr>
              <w:t>生鲜食品渠道的发展趋势做出简单的预测。</w:t>
            </w:r>
          </w:p>
        </w:tc>
      </w:tr>
      <w:tr w:rsidR="00643BE4" w14:paraId="39DCDCE7" w14:textId="77777777">
        <w:trPr>
          <w:trHeight w:val="680"/>
          <w:jc w:val="center"/>
        </w:trPr>
        <w:tc>
          <w:tcPr>
            <w:tcW w:w="2362" w:type="dxa"/>
            <w:vAlign w:val="center"/>
          </w:tcPr>
          <w:p w14:paraId="2F77FB22" w14:textId="77777777" w:rsidR="00643BE4" w:rsidRDefault="00951C29">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14:paraId="28EA26BD" w14:textId="77777777" w:rsidR="00643BE4" w:rsidRDefault="00951C29">
            <w:pPr>
              <w:rPr>
                <w:rFonts w:ascii="宋体" w:eastAsia="宋体" w:hAnsi="宋体"/>
                <w:sz w:val="24"/>
              </w:rPr>
            </w:pPr>
            <w:r>
              <w:rPr>
                <w:rFonts w:ascii="宋体" w:eastAsia="宋体" w:hAnsi="宋体" w:hint="eastAsia"/>
                <w:sz w:val="24"/>
              </w:rPr>
              <w:t>消费者网购生鲜食品渠道选择行为的实证研究-基于感知价值和网络外部性</w:t>
            </w:r>
          </w:p>
        </w:tc>
      </w:tr>
      <w:tr w:rsidR="00643BE4" w14:paraId="6C8C8AD8" w14:textId="77777777">
        <w:trPr>
          <w:trHeight w:val="6386"/>
          <w:jc w:val="center"/>
        </w:trPr>
        <w:tc>
          <w:tcPr>
            <w:tcW w:w="2362" w:type="dxa"/>
            <w:vAlign w:val="center"/>
          </w:tcPr>
          <w:p w14:paraId="69136541" w14:textId="77777777" w:rsidR="00643BE4" w:rsidRDefault="00951C29">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28205890" w14:textId="77777777" w:rsidR="00643BE4" w:rsidRDefault="00951C29">
            <w:pPr>
              <w:pStyle w:val="a4"/>
              <w:numPr>
                <w:ilvl w:val="0"/>
                <w:numId w:val="5"/>
              </w:numPr>
              <w:ind w:firstLineChars="0"/>
              <w:rPr>
                <w:rFonts w:ascii="宋体" w:eastAsia="宋体" w:hAnsi="宋体"/>
                <w:sz w:val="24"/>
              </w:rPr>
            </w:pPr>
            <w:r>
              <w:rPr>
                <w:rFonts w:ascii="宋体" w:eastAsia="宋体" w:hAnsi="宋体" w:hint="eastAsia"/>
                <w:sz w:val="24"/>
              </w:rPr>
              <w:t>引言</w:t>
            </w:r>
          </w:p>
          <w:p w14:paraId="7BF26001"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研究背景</w:t>
            </w:r>
          </w:p>
          <w:p w14:paraId="1C5A0272"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研究意义</w:t>
            </w:r>
          </w:p>
          <w:p w14:paraId="441CA176"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研究内容与方法</w:t>
            </w:r>
          </w:p>
          <w:p w14:paraId="196B01BD"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创新与不足</w:t>
            </w:r>
          </w:p>
          <w:p w14:paraId="392E6948" w14:textId="77777777" w:rsidR="00643BE4" w:rsidRDefault="00951C29">
            <w:pPr>
              <w:pStyle w:val="a4"/>
              <w:numPr>
                <w:ilvl w:val="0"/>
                <w:numId w:val="5"/>
              </w:numPr>
              <w:ind w:firstLineChars="0"/>
              <w:rPr>
                <w:rFonts w:ascii="宋体" w:eastAsia="宋体" w:hAnsi="宋体"/>
                <w:sz w:val="24"/>
              </w:rPr>
            </w:pPr>
            <w:r>
              <w:rPr>
                <w:rFonts w:ascii="宋体" w:eastAsia="宋体" w:hAnsi="宋体" w:hint="eastAsia"/>
                <w:sz w:val="24"/>
              </w:rPr>
              <w:t>相关理论与文献综述</w:t>
            </w:r>
          </w:p>
          <w:p w14:paraId="4489BCC8"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基本概念</w:t>
            </w:r>
          </w:p>
          <w:p w14:paraId="731C2563"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文献综述</w:t>
            </w:r>
          </w:p>
          <w:p w14:paraId="19D333EA"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相关理论与模型</w:t>
            </w:r>
          </w:p>
          <w:p w14:paraId="567B4FAE" w14:textId="77777777" w:rsidR="00643BE4" w:rsidRDefault="00951C29">
            <w:pPr>
              <w:pStyle w:val="a4"/>
              <w:numPr>
                <w:ilvl w:val="0"/>
                <w:numId w:val="5"/>
              </w:numPr>
              <w:ind w:firstLineChars="0"/>
              <w:rPr>
                <w:rFonts w:ascii="宋体" w:eastAsia="宋体" w:hAnsi="宋体"/>
                <w:sz w:val="24"/>
              </w:rPr>
            </w:pPr>
            <w:r>
              <w:rPr>
                <w:rFonts w:ascii="宋体" w:eastAsia="宋体" w:hAnsi="宋体" w:hint="eastAsia"/>
                <w:sz w:val="24"/>
              </w:rPr>
              <w:t>生鲜食品网购渠道选择的模型</w:t>
            </w:r>
          </w:p>
          <w:p w14:paraId="53AC9E7A"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被解释变量、解释变量与模型</w:t>
            </w:r>
          </w:p>
          <w:p w14:paraId="2048871D"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样本选取与数据来源</w:t>
            </w:r>
          </w:p>
          <w:p w14:paraId="19742061" w14:textId="77777777" w:rsidR="00643BE4" w:rsidRDefault="00951C29">
            <w:pPr>
              <w:pStyle w:val="a4"/>
              <w:numPr>
                <w:ilvl w:val="0"/>
                <w:numId w:val="5"/>
              </w:numPr>
              <w:ind w:firstLineChars="0"/>
              <w:rPr>
                <w:rFonts w:ascii="宋体" w:eastAsia="宋体" w:hAnsi="宋体"/>
                <w:sz w:val="24"/>
              </w:rPr>
            </w:pPr>
            <w:r>
              <w:rPr>
                <w:rFonts w:ascii="宋体" w:eastAsia="宋体" w:hAnsi="宋体" w:hint="eastAsia"/>
                <w:sz w:val="24"/>
              </w:rPr>
              <w:t>实证检验与分析</w:t>
            </w:r>
          </w:p>
          <w:p w14:paraId="170AEF99"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数据分析</w:t>
            </w:r>
          </w:p>
          <w:p w14:paraId="19968991"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模型检验</w:t>
            </w:r>
          </w:p>
          <w:p w14:paraId="3F283001" w14:textId="77777777" w:rsidR="00643BE4" w:rsidRDefault="00951C29">
            <w:pPr>
              <w:pStyle w:val="a4"/>
              <w:numPr>
                <w:ilvl w:val="0"/>
                <w:numId w:val="5"/>
              </w:numPr>
              <w:ind w:firstLineChars="0"/>
              <w:rPr>
                <w:rFonts w:ascii="宋体" w:eastAsia="宋体" w:hAnsi="宋体"/>
                <w:sz w:val="24"/>
              </w:rPr>
            </w:pPr>
            <w:r>
              <w:rPr>
                <w:rFonts w:ascii="宋体" w:eastAsia="宋体" w:hAnsi="宋体" w:hint="eastAsia"/>
                <w:sz w:val="24"/>
              </w:rPr>
              <w:t>总结与建议</w:t>
            </w:r>
          </w:p>
          <w:p w14:paraId="03C67647"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研究结论</w:t>
            </w:r>
          </w:p>
          <w:p w14:paraId="6FB42216" w14:textId="77777777" w:rsidR="00643BE4" w:rsidRDefault="00951C29">
            <w:pPr>
              <w:pStyle w:val="a4"/>
              <w:numPr>
                <w:ilvl w:val="1"/>
                <w:numId w:val="5"/>
              </w:numPr>
              <w:ind w:firstLineChars="0"/>
              <w:rPr>
                <w:rFonts w:ascii="宋体" w:eastAsia="宋体" w:hAnsi="宋体"/>
                <w:sz w:val="24"/>
              </w:rPr>
            </w:pPr>
            <w:r>
              <w:rPr>
                <w:rFonts w:ascii="宋体" w:eastAsia="宋体" w:hAnsi="宋体" w:hint="eastAsia"/>
                <w:sz w:val="24"/>
              </w:rPr>
              <w:t>建议</w:t>
            </w:r>
          </w:p>
        </w:tc>
      </w:tr>
      <w:tr w:rsidR="00643BE4" w14:paraId="7CF973C9" w14:textId="77777777">
        <w:trPr>
          <w:trHeight w:val="2683"/>
          <w:jc w:val="center"/>
        </w:trPr>
        <w:tc>
          <w:tcPr>
            <w:tcW w:w="2362" w:type="dxa"/>
            <w:vAlign w:val="center"/>
          </w:tcPr>
          <w:p w14:paraId="66B76D30" w14:textId="77777777" w:rsidR="00643BE4" w:rsidRDefault="00951C29">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25E4B9DC" w14:textId="2F37F0B8" w:rsidR="00643BE4" w:rsidRDefault="00951C29">
            <w:pPr>
              <w:rPr>
                <w:rFonts w:ascii="宋体" w:eastAsia="宋体" w:hAnsi="宋体"/>
                <w:sz w:val="24"/>
              </w:rPr>
            </w:pPr>
            <w:r>
              <w:rPr>
                <w:rFonts w:ascii="宋体" w:eastAsia="宋体" w:hAnsi="宋体"/>
                <w:sz w:val="24"/>
              </w:rPr>
              <w:t>[1]商务部电子商务和信息化司.中国电子商务报告2018.[R].2019.</w:t>
            </w:r>
          </w:p>
          <w:p w14:paraId="6364EC02" w14:textId="79465D43" w:rsidR="003D5405" w:rsidRDefault="003D5405" w:rsidP="003D5405">
            <w:pPr>
              <w:rPr>
                <w:rFonts w:ascii="宋体" w:eastAsia="宋体" w:hAnsi="宋体"/>
                <w:sz w:val="24"/>
              </w:rPr>
            </w:pPr>
            <w:r>
              <w:rPr>
                <w:rFonts w:ascii="宋体" w:eastAsia="宋体" w:hAnsi="宋体"/>
                <w:sz w:val="24"/>
              </w:rPr>
              <w:t>[2]</w:t>
            </w:r>
            <w:r>
              <w:rPr>
                <w:rFonts w:ascii="宋体" w:eastAsia="宋体" w:hAnsi="宋体" w:hint="eastAsia"/>
                <w:sz w:val="24"/>
              </w:rPr>
              <w:t>艾瑞咨询</w:t>
            </w:r>
            <w:r>
              <w:rPr>
                <w:rFonts w:ascii="宋体" w:eastAsia="宋体" w:hAnsi="宋体"/>
                <w:sz w:val="24"/>
              </w:rPr>
              <w:t>.</w:t>
            </w:r>
            <w:r w:rsidRPr="006A63D5">
              <w:rPr>
                <w:rFonts w:ascii="宋体" w:eastAsia="宋体" w:hAnsi="宋体"/>
                <w:sz w:val="24"/>
              </w:rPr>
              <w:t xml:space="preserve"> </w:t>
            </w:r>
            <w:r w:rsidRPr="003D5405">
              <w:rPr>
                <w:rFonts w:ascii="宋体" w:eastAsia="宋体" w:hAnsi="宋体"/>
                <w:sz w:val="24"/>
              </w:rPr>
              <w:t>中国生鲜电商行业研究报告</w:t>
            </w:r>
            <w:r>
              <w:rPr>
                <w:rFonts w:ascii="宋体" w:eastAsia="宋体" w:hAnsi="宋体" w:hint="eastAsia"/>
                <w:sz w:val="24"/>
              </w:rPr>
              <w:t>2</w:t>
            </w:r>
            <w:r>
              <w:rPr>
                <w:rFonts w:ascii="宋体" w:eastAsia="宋体" w:hAnsi="宋体"/>
                <w:sz w:val="24"/>
              </w:rPr>
              <w:t>019.[R].2020. [R].2021.</w:t>
            </w:r>
          </w:p>
          <w:p w14:paraId="52BAE438" w14:textId="5C06E530" w:rsidR="00643BE4" w:rsidRDefault="00951C29">
            <w:pPr>
              <w:rPr>
                <w:rFonts w:ascii="宋体" w:eastAsia="宋体" w:hAnsi="宋体"/>
                <w:sz w:val="24"/>
              </w:rPr>
            </w:pPr>
            <w:r>
              <w:rPr>
                <w:rFonts w:ascii="宋体" w:eastAsia="宋体" w:hAnsi="宋体"/>
                <w:sz w:val="24"/>
              </w:rPr>
              <w:t>[</w:t>
            </w:r>
            <w:r w:rsidR="003D5405">
              <w:rPr>
                <w:rFonts w:ascii="宋体" w:eastAsia="宋体" w:hAnsi="宋体"/>
                <w:sz w:val="24"/>
              </w:rPr>
              <w:t>3</w:t>
            </w:r>
            <w:r>
              <w:rPr>
                <w:rFonts w:ascii="宋体" w:eastAsia="宋体" w:hAnsi="宋体"/>
                <w:sz w:val="24"/>
              </w:rPr>
              <w:t>]祝君红,朱立伟,黄新飞.基于SEM的消费者网购生鲜农产品意愿影响因素研究[J].上海商学院学报,2017,18(3):50-58.</w:t>
            </w:r>
          </w:p>
          <w:p w14:paraId="66D21421" w14:textId="1FFD7023" w:rsidR="00643BE4" w:rsidRDefault="00951C29">
            <w:pPr>
              <w:rPr>
                <w:rFonts w:ascii="宋体" w:eastAsia="宋体" w:hAnsi="宋体"/>
                <w:sz w:val="24"/>
              </w:rPr>
            </w:pPr>
            <w:r>
              <w:rPr>
                <w:rFonts w:ascii="宋体" w:eastAsia="宋体" w:hAnsi="宋体"/>
                <w:sz w:val="24"/>
              </w:rPr>
              <w:t>[</w:t>
            </w:r>
            <w:r w:rsidR="003D5405">
              <w:rPr>
                <w:rFonts w:ascii="宋体" w:eastAsia="宋体" w:hAnsi="宋体"/>
                <w:sz w:val="24"/>
              </w:rPr>
              <w:t>4</w:t>
            </w:r>
            <w:r>
              <w:rPr>
                <w:rFonts w:ascii="宋体" w:eastAsia="宋体" w:hAnsi="宋体"/>
                <w:sz w:val="24"/>
              </w:rPr>
              <w:t>]胡帆.消费者网络购物感知风险研究综述[J].中外企业家,2015,(7):239-239,241</w:t>
            </w:r>
          </w:p>
          <w:p w14:paraId="245B2363" w14:textId="679BDC28" w:rsidR="00643BE4" w:rsidRDefault="00951C29">
            <w:pPr>
              <w:rPr>
                <w:rFonts w:ascii="宋体" w:eastAsia="宋体" w:hAnsi="宋体"/>
                <w:sz w:val="24"/>
              </w:rPr>
            </w:pPr>
            <w:r>
              <w:rPr>
                <w:rFonts w:ascii="宋体" w:eastAsia="宋体" w:hAnsi="宋体"/>
                <w:sz w:val="24"/>
              </w:rPr>
              <w:t>[</w:t>
            </w:r>
            <w:r w:rsidR="003D5405">
              <w:rPr>
                <w:rFonts w:ascii="宋体" w:eastAsia="宋体" w:hAnsi="宋体"/>
                <w:sz w:val="24"/>
              </w:rPr>
              <w:t>5</w:t>
            </w:r>
            <w:r>
              <w:rPr>
                <w:rFonts w:ascii="宋体" w:eastAsia="宋体" w:hAnsi="宋体"/>
                <w:sz w:val="24"/>
              </w:rPr>
              <w:t>]沈蕾.消费者行为学:理论与实务[M].北京:人民大学出版社,2013</w:t>
            </w:r>
          </w:p>
          <w:p w14:paraId="6D4C880B" w14:textId="77777777" w:rsidR="00643BE4" w:rsidRDefault="00951C29">
            <w:pPr>
              <w:rPr>
                <w:rFonts w:ascii="宋体" w:eastAsia="宋体" w:hAnsi="宋体"/>
                <w:sz w:val="24"/>
              </w:rPr>
            </w:pPr>
            <w:r>
              <w:rPr>
                <w:rFonts w:ascii="宋体" w:eastAsia="宋体" w:hAnsi="宋体"/>
                <w:sz w:val="24"/>
              </w:rPr>
              <w:t>[</w:t>
            </w:r>
            <w:r w:rsidR="003D5405">
              <w:rPr>
                <w:rFonts w:ascii="宋体" w:eastAsia="宋体" w:hAnsi="宋体"/>
                <w:sz w:val="24"/>
              </w:rPr>
              <w:t>6</w:t>
            </w:r>
            <w:r>
              <w:rPr>
                <w:rFonts w:ascii="宋体" w:eastAsia="宋体" w:hAnsi="宋体"/>
                <w:sz w:val="24"/>
              </w:rPr>
              <w:t>]任杰.消费者网络购买决策中不同参照点影响力比较研究[M].北京:经济管理出版社,2020</w:t>
            </w:r>
          </w:p>
          <w:p w14:paraId="620AA459" w14:textId="30B09DCE" w:rsidR="006A63D5" w:rsidRDefault="006A63D5">
            <w:pPr>
              <w:rPr>
                <w:rFonts w:ascii="宋体" w:eastAsia="宋体" w:hAnsi="宋体"/>
                <w:sz w:val="24"/>
              </w:rPr>
            </w:pPr>
            <w:r>
              <w:rPr>
                <w:rFonts w:ascii="宋体" w:eastAsia="宋体" w:hAnsi="宋体"/>
                <w:sz w:val="24"/>
              </w:rPr>
              <w:t>[7]</w:t>
            </w:r>
            <w:r>
              <w:rPr>
                <w:rFonts w:ascii="宋体" w:eastAsia="宋体" w:hAnsi="宋体" w:hint="eastAsia"/>
                <w:sz w:val="24"/>
              </w:rPr>
              <w:t>孙</w:t>
            </w:r>
            <w:r w:rsidR="00951C29">
              <w:rPr>
                <w:rFonts w:ascii="宋体" w:eastAsia="宋体" w:hAnsi="宋体" w:hint="eastAsia"/>
                <w:sz w:val="24"/>
              </w:rPr>
              <w:t>姣姣</w:t>
            </w:r>
            <w:r>
              <w:rPr>
                <w:rFonts w:ascii="宋体" w:eastAsia="宋体" w:hAnsi="宋体"/>
                <w:sz w:val="24"/>
              </w:rPr>
              <w:t>.</w:t>
            </w:r>
            <w:r w:rsidRPr="006A63D5">
              <w:rPr>
                <w:rFonts w:ascii="宋体" w:eastAsia="宋体" w:hAnsi="宋体" w:hint="eastAsia"/>
                <w:sz w:val="24"/>
              </w:rPr>
              <w:t>消费者决策风格和感知价值对生鲜移动网购意愿的影响研究</w:t>
            </w:r>
            <w:r w:rsidR="00951C29">
              <w:rPr>
                <w:rFonts w:ascii="宋体" w:eastAsia="宋体" w:hAnsi="宋体"/>
                <w:sz w:val="24"/>
              </w:rPr>
              <w:t>[J].</w:t>
            </w:r>
            <w:r w:rsidR="00951C29">
              <w:rPr>
                <w:rFonts w:ascii="宋体" w:eastAsia="宋体" w:hAnsi="宋体" w:hint="eastAsia"/>
                <w:sz w:val="24"/>
              </w:rPr>
              <w:t>商业经济研究</w:t>
            </w:r>
            <w:r w:rsidR="00951C29">
              <w:rPr>
                <w:rFonts w:ascii="宋体" w:eastAsia="宋体" w:hAnsi="宋体"/>
                <w:sz w:val="24"/>
              </w:rPr>
              <w:t>,2017,(16)</w:t>
            </w:r>
          </w:p>
          <w:p w14:paraId="36FE71C4" w14:textId="77777777" w:rsidR="00951C29" w:rsidRDefault="00951C29">
            <w:pPr>
              <w:rPr>
                <w:rFonts w:ascii="宋体" w:eastAsia="宋体" w:hAnsi="宋体"/>
                <w:sz w:val="24"/>
              </w:rPr>
            </w:pPr>
            <w:r>
              <w:rPr>
                <w:rFonts w:ascii="宋体" w:eastAsia="宋体" w:hAnsi="宋体"/>
                <w:sz w:val="24"/>
              </w:rPr>
              <w:lastRenderedPageBreak/>
              <w:t>[8]</w:t>
            </w:r>
            <w:r w:rsidRPr="00951C29">
              <w:rPr>
                <w:rFonts w:ascii="宋体" w:eastAsia="宋体" w:hAnsi="宋体"/>
                <w:sz w:val="24"/>
              </w:rPr>
              <w:t>Consumer Decision‐Making Styles of Young‐Adult Chinese[J] . JESSIE X.FAN,JING J.XIAO.  Journal of Consumer Affairs . 2005 (2)</w:t>
            </w:r>
          </w:p>
          <w:p w14:paraId="576947EF" w14:textId="35F9ABCC" w:rsidR="00951C29" w:rsidRPr="00951C29" w:rsidRDefault="00951C29">
            <w:pPr>
              <w:rPr>
                <w:rFonts w:ascii="宋体" w:eastAsia="宋体" w:hAnsi="宋体"/>
                <w:sz w:val="24"/>
              </w:rPr>
            </w:pPr>
            <w:r>
              <w:rPr>
                <w:rFonts w:ascii="宋体" w:eastAsia="宋体" w:hAnsi="宋体"/>
                <w:sz w:val="24"/>
              </w:rPr>
              <w:t>[9]</w:t>
            </w:r>
            <w:r w:rsidRPr="00951C29">
              <w:rPr>
                <w:rFonts w:ascii="宋体" w:eastAsia="宋体" w:hAnsi="宋体"/>
                <w:sz w:val="24"/>
              </w:rPr>
              <w:t>The influence of consumer decision‐making styles on online apparel consumption by college students[J] . Kelly O.Cowart,Ronald E.Goldsmith.  International Journal of Consumer Studies . 2007 (6)</w:t>
            </w:r>
          </w:p>
        </w:tc>
      </w:tr>
    </w:tbl>
    <w:p w14:paraId="08DBEFAB" w14:textId="77777777" w:rsidR="00643BE4" w:rsidRDefault="00951C29">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78861A28" w14:textId="77777777" w:rsidR="00643BE4" w:rsidRDefault="00951C29">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643BE4">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AD8"/>
    <w:multiLevelType w:val="multilevel"/>
    <w:tmpl w:val="01695AD8"/>
    <w:lvl w:ilvl="0">
      <w:start w:val="2013"/>
      <w:numFmt w:val="decimal"/>
      <w:lvlText w:val="%1"/>
      <w:lvlJc w:val="left"/>
      <w:pPr>
        <w:ind w:left="1800" w:hanging="1800"/>
      </w:pPr>
      <w:rPr>
        <w:rFonts w:hint="default"/>
      </w:rPr>
    </w:lvl>
    <w:lvl w:ilvl="1">
      <w:start w:val="7"/>
      <w:numFmt w:val="decimalZero"/>
      <w:lvlText w:val="%1.%2"/>
      <w:lvlJc w:val="left"/>
      <w:pPr>
        <w:ind w:left="1800" w:hanging="1800"/>
      </w:pPr>
      <w:rPr>
        <w:rFonts w:hint="default"/>
      </w:rPr>
    </w:lvl>
    <w:lvl w:ilvl="2">
      <w:start w:val="2015"/>
      <w:numFmt w:val="decimal"/>
      <w:lvlText w:val="%1.%2-%3"/>
      <w:lvlJc w:val="left"/>
      <w:pPr>
        <w:ind w:left="1800" w:hanging="1800"/>
      </w:pPr>
      <w:rPr>
        <w:rFonts w:hint="default"/>
      </w:rPr>
    </w:lvl>
    <w:lvl w:ilvl="3">
      <w:start w:val="7"/>
      <w:numFmt w:val="decimalZero"/>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602653"/>
    <w:multiLevelType w:val="multilevel"/>
    <w:tmpl w:val="0A602653"/>
    <w:lvl w:ilvl="0">
      <w:start w:val="2016"/>
      <w:numFmt w:val="decimal"/>
      <w:lvlText w:val="%1"/>
      <w:lvlJc w:val="left"/>
      <w:pPr>
        <w:ind w:left="1800" w:hanging="1800"/>
      </w:pPr>
      <w:rPr>
        <w:rFonts w:hint="default"/>
      </w:rPr>
    </w:lvl>
    <w:lvl w:ilvl="1">
      <w:start w:val="10"/>
      <w:numFmt w:val="decimal"/>
      <w:lvlText w:val="%1.%2"/>
      <w:lvlJc w:val="left"/>
      <w:pPr>
        <w:ind w:left="1800" w:hanging="1800"/>
      </w:pPr>
      <w:rPr>
        <w:rFonts w:hint="default"/>
      </w:rPr>
    </w:lvl>
    <w:lvl w:ilvl="2">
      <w:start w:val="2020"/>
      <w:numFmt w:val="decimal"/>
      <w:lvlText w:val="%1.%2-%3"/>
      <w:lvlJc w:val="left"/>
      <w:pPr>
        <w:ind w:left="1800" w:hanging="1800"/>
      </w:pPr>
      <w:rPr>
        <w:rFonts w:hint="default"/>
      </w:rPr>
    </w:lvl>
    <w:lvl w:ilvl="3">
      <w:start w:val="11"/>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1B6D4C"/>
    <w:multiLevelType w:val="multilevel"/>
    <w:tmpl w:val="0D1B6D4C"/>
    <w:lvl w:ilvl="0">
      <w:start w:val="2012"/>
      <w:numFmt w:val="decimal"/>
      <w:lvlText w:val="%1"/>
      <w:lvlJc w:val="left"/>
      <w:pPr>
        <w:ind w:left="1800" w:hanging="1800"/>
      </w:pPr>
      <w:rPr>
        <w:rFonts w:hint="default"/>
      </w:rPr>
    </w:lvl>
    <w:lvl w:ilvl="1">
      <w:start w:val="4"/>
      <w:numFmt w:val="decimalZero"/>
      <w:lvlText w:val="%1.%2"/>
      <w:lvlJc w:val="left"/>
      <w:pPr>
        <w:ind w:left="1800" w:hanging="1800"/>
      </w:pPr>
      <w:rPr>
        <w:rFonts w:hint="default"/>
      </w:rPr>
    </w:lvl>
    <w:lvl w:ilvl="2">
      <w:start w:val="2013"/>
      <w:numFmt w:val="decimal"/>
      <w:lvlText w:val="%1.%2-%3"/>
      <w:lvlJc w:val="left"/>
      <w:pPr>
        <w:ind w:left="1800" w:hanging="1800"/>
      </w:pPr>
      <w:rPr>
        <w:rFonts w:hint="default"/>
      </w:rPr>
    </w:lvl>
    <w:lvl w:ilvl="3">
      <w:start w:val="6"/>
      <w:numFmt w:val="decimalZero"/>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D42CE8"/>
    <w:multiLevelType w:val="multilevel"/>
    <w:tmpl w:val="41D42CE8"/>
    <w:lvl w:ilvl="0">
      <w:start w:val="2008"/>
      <w:numFmt w:val="decimal"/>
      <w:lvlText w:val="%1"/>
      <w:lvlJc w:val="left"/>
      <w:pPr>
        <w:ind w:left="1800" w:hanging="1800"/>
      </w:pPr>
      <w:rPr>
        <w:rFonts w:hint="default"/>
      </w:rPr>
    </w:lvl>
    <w:lvl w:ilvl="1">
      <w:start w:val="3"/>
      <w:numFmt w:val="decimalZero"/>
      <w:lvlText w:val="%1.%2"/>
      <w:lvlJc w:val="left"/>
      <w:pPr>
        <w:ind w:left="1800" w:hanging="1800"/>
      </w:pPr>
      <w:rPr>
        <w:rFonts w:hint="default"/>
      </w:rPr>
    </w:lvl>
    <w:lvl w:ilvl="2">
      <w:start w:val="2012"/>
      <w:numFmt w:val="decimal"/>
      <w:lvlText w:val="%1.%2-%3"/>
      <w:lvlJc w:val="left"/>
      <w:pPr>
        <w:ind w:left="1800" w:hanging="1800"/>
      </w:pPr>
      <w:rPr>
        <w:rFonts w:hint="default"/>
      </w:rPr>
    </w:lvl>
    <w:lvl w:ilvl="3">
      <w:start w:val="4"/>
      <w:numFmt w:val="decimalZero"/>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7473B68"/>
    <w:multiLevelType w:val="multilevel"/>
    <w:tmpl w:val="77473B6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45702"/>
    <w:rsid w:val="000768E9"/>
    <w:rsid w:val="000D616E"/>
    <w:rsid w:val="00111AC2"/>
    <w:rsid w:val="001C3791"/>
    <w:rsid w:val="001D4ABC"/>
    <w:rsid w:val="001F2172"/>
    <w:rsid w:val="002034B2"/>
    <w:rsid w:val="00207B3F"/>
    <w:rsid w:val="002B4F5B"/>
    <w:rsid w:val="00354108"/>
    <w:rsid w:val="003A28DB"/>
    <w:rsid w:val="003C213C"/>
    <w:rsid w:val="003C51F0"/>
    <w:rsid w:val="003D32FC"/>
    <w:rsid w:val="003D5405"/>
    <w:rsid w:val="00405C1A"/>
    <w:rsid w:val="00470868"/>
    <w:rsid w:val="00556D05"/>
    <w:rsid w:val="005C2E3E"/>
    <w:rsid w:val="005F36AE"/>
    <w:rsid w:val="0062251B"/>
    <w:rsid w:val="00643BE4"/>
    <w:rsid w:val="006800DF"/>
    <w:rsid w:val="006A63D5"/>
    <w:rsid w:val="00755DF8"/>
    <w:rsid w:val="007570F9"/>
    <w:rsid w:val="00761113"/>
    <w:rsid w:val="007B4CD1"/>
    <w:rsid w:val="007E16D2"/>
    <w:rsid w:val="008067C0"/>
    <w:rsid w:val="00807310"/>
    <w:rsid w:val="00890A29"/>
    <w:rsid w:val="008921EC"/>
    <w:rsid w:val="0092628A"/>
    <w:rsid w:val="00951C29"/>
    <w:rsid w:val="00974A93"/>
    <w:rsid w:val="009D0666"/>
    <w:rsid w:val="009E46EC"/>
    <w:rsid w:val="00A32456"/>
    <w:rsid w:val="00A57133"/>
    <w:rsid w:val="00A645AA"/>
    <w:rsid w:val="00AB5DD7"/>
    <w:rsid w:val="00AD71DB"/>
    <w:rsid w:val="00C328ED"/>
    <w:rsid w:val="00CE1F77"/>
    <w:rsid w:val="00D063B7"/>
    <w:rsid w:val="00D35C0B"/>
    <w:rsid w:val="00D435C0"/>
    <w:rsid w:val="00D4412D"/>
    <w:rsid w:val="00DA1883"/>
    <w:rsid w:val="00DA286B"/>
    <w:rsid w:val="00DB7039"/>
    <w:rsid w:val="00E37DE0"/>
    <w:rsid w:val="00E5705C"/>
    <w:rsid w:val="00EF594B"/>
    <w:rsid w:val="00F26D7D"/>
    <w:rsid w:val="00F3033C"/>
    <w:rsid w:val="00FA3588"/>
    <w:rsid w:val="00FA576C"/>
    <w:rsid w:val="089B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2627"/>
  <w15:docId w15:val="{E32AA9D7-D1F0-451F-9A26-E2497FC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paragraph" w:styleId="a4">
    <w:name w:val="List Paragraph"/>
    <w:basedOn w:val="a"/>
    <w:uiPriority w:val="34"/>
    <w:qFormat/>
    <w:pPr>
      <w:ind w:firstLineChars="200" w:firstLine="420"/>
    </w:pPr>
  </w:style>
  <w:style w:type="character" w:customStyle="1" w:styleId="author">
    <w:name w:val="author"/>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崔 二条</cp:lastModifiedBy>
  <cp:revision>6</cp:revision>
  <dcterms:created xsi:type="dcterms:W3CDTF">2021-06-17T01:21:00Z</dcterms:created>
  <dcterms:modified xsi:type="dcterms:W3CDTF">2021-06-17T05:02:00Z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