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13"/>
        <w:tblW w:w="93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81040845</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朱芫蓉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网络经济学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18513913110</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e706zhuyuanrong@126.com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吉林大学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信用管理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中国邮政储蓄银行</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职员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2010年，我入学吉林大学，在商学院信用管理专业攻读管理学学士学位。在大学期间，我还学习了数学学院的保险精算专业课程，并最终获取理学辅修学士学位。</w:t>
            </w:r>
          </w:p>
          <w:p>
            <w:pPr>
              <w:rPr>
                <w:rFonts w:hint="eastAsia" w:ascii="宋体" w:hAnsi="宋体" w:eastAsia="宋体"/>
                <w:sz w:val="24"/>
                <w:lang w:val="en-US" w:eastAsia="zh-CN"/>
              </w:rPr>
            </w:pPr>
            <w:r>
              <w:rPr>
                <w:rFonts w:hint="eastAsia" w:ascii="宋体" w:hAnsi="宋体" w:eastAsia="宋体"/>
                <w:sz w:val="24"/>
                <w:lang w:val="en-US" w:eastAsia="zh-CN"/>
              </w:rPr>
              <w:t>2014年，我从吉林大学毕业后，入职北京科蓝软件系统股份有限公司，从事系统建设的需求分析工作，前后参与过中国进出口银行、锦州银行、晋商银行、汉口银行、中原银行、厦门农商银行等银行的直销银行、手机银行、网银等系统的建设项目，从普通职员逐渐升级为中级业务专家。2016年升职为项目经理，负责中原银行基金理财项目，并于同年考取PMP资格认证证书。</w:t>
            </w:r>
          </w:p>
          <w:p>
            <w:pPr>
              <w:rPr>
                <w:rFonts w:hint="default" w:ascii="宋体" w:hAnsi="宋体" w:eastAsia="宋体"/>
                <w:sz w:val="24"/>
                <w:lang w:val="en-US" w:eastAsia="zh-CN"/>
              </w:rPr>
            </w:pPr>
            <w:r>
              <w:rPr>
                <w:rFonts w:hint="eastAsia" w:ascii="宋体" w:hAnsi="宋体" w:eastAsia="宋体"/>
                <w:sz w:val="24"/>
                <w:lang w:val="en-US" w:eastAsia="zh-CN"/>
              </w:rPr>
              <w:t>直至2020年，我从科蓝离职并入职现在的公司——中国邮政储蓄银行，在科技条线继续从事需求分析和研发的工作。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4018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r>
              <w:rPr>
                <w:rFonts w:hint="eastAsia" w:ascii="宋体" w:hAnsi="宋体" w:eastAsia="宋体"/>
                <w:sz w:val="24"/>
              </w:rPr>
              <w:t>黄金质押贷款的定价研究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投资与创业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r>
              <w:rPr>
                <w:rFonts w:hint="eastAsia" w:ascii="宋体" w:hAnsi="宋体" w:eastAsia="宋体"/>
                <w:sz w:val="24"/>
              </w:rPr>
              <w:t>本文的主要研究内容有：在借贷双方公平的意义下，建立无追索权的黄金质押贷款的定价模型，给出质押率的决定公式。然后，结合实际数据计算出不同贷款期限的黄金质押贷款的质押率和合约价值。此外，通过数值实验分析贷款期限对质押率和合约价值的影响，并探讨利率差和手续费与质押率的关系。具体的结构安排如下：第</w:t>
            </w:r>
            <w:r>
              <w:rPr>
                <w:rFonts w:hint="eastAsia" w:ascii="宋体" w:hAnsi="宋体" w:eastAsia="宋体"/>
                <w:sz w:val="24"/>
                <w:lang w:val="en-US" w:eastAsia="zh-CN"/>
              </w:rPr>
              <w:t>一节</w:t>
            </w:r>
            <w:r>
              <w:rPr>
                <w:rFonts w:hint="eastAsia" w:ascii="宋体" w:hAnsi="宋体" w:eastAsia="宋体"/>
                <w:sz w:val="24"/>
              </w:rPr>
              <w:t>主要介绍本文的研究背景、研究意义、国内外研究现状等。第二</w:t>
            </w:r>
            <w:r>
              <w:rPr>
                <w:rFonts w:hint="eastAsia" w:ascii="宋体" w:hAnsi="宋体" w:eastAsia="宋体"/>
                <w:sz w:val="24"/>
                <w:lang w:val="en-US" w:eastAsia="zh-CN"/>
              </w:rPr>
              <w:t>节</w:t>
            </w:r>
            <w:r>
              <w:rPr>
                <w:rFonts w:hint="eastAsia" w:ascii="宋体" w:hAnsi="宋体" w:eastAsia="宋体"/>
                <w:sz w:val="24"/>
              </w:rPr>
              <w:t>针对无追索权的黄金质押贷款建立定价模型，并给出质押率的决定公式。第三</w:t>
            </w:r>
            <w:r>
              <w:rPr>
                <w:rFonts w:hint="eastAsia" w:ascii="宋体" w:hAnsi="宋体" w:eastAsia="宋体"/>
                <w:sz w:val="24"/>
                <w:lang w:val="en-US" w:eastAsia="zh-CN"/>
              </w:rPr>
              <w:t>节</w:t>
            </w:r>
            <w:r>
              <w:rPr>
                <w:rFonts w:hint="eastAsia" w:ascii="宋体" w:hAnsi="宋体" w:eastAsia="宋体"/>
                <w:sz w:val="24"/>
              </w:rPr>
              <w:t>通过数值实验讨论贷款期限与质押率和合约价值的关系以及利率差和手续费与质押率的关系。第</w:t>
            </w:r>
            <w:r>
              <w:rPr>
                <w:rFonts w:hint="eastAsia" w:ascii="宋体" w:hAnsi="宋体" w:eastAsia="宋体"/>
                <w:sz w:val="24"/>
                <w:lang w:val="en-US" w:eastAsia="zh-CN"/>
              </w:rPr>
              <w:t>四节</w:t>
            </w:r>
            <w:r>
              <w:rPr>
                <w:rFonts w:hint="eastAsia" w:ascii="宋体" w:hAnsi="宋体" w:eastAsia="宋体"/>
                <w:sz w:val="24"/>
              </w:rPr>
              <w:t>根据我国黄金质押贷款业务</w:t>
            </w:r>
            <w:r>
              <w:rPr>
                <w:rFonts w:hint="eastAsia" w:ascii="宋体" w:hAnsi="宋体" w:eastAsia="宋体"/>
                <w:sz w:val="24"/>
                <w:lang w:val="en-US" w:eastAsia="zh-CN"/>
              </w:rPr>
              <w:t>现状</w:t>
            </w:r>
            <w:r>
              <w:rPr>
                <w:rFonts w:hint="eastAsia" w:ascii="宋体" w:hAnsi="宋体" w:eastAsia="宋体"/>
                <w:sz w:val="24"/>
              </w:rPr>
              <w:t>，提出一些风险控制的建议和方法。</w:t>
            </w:r>
          </w:p>
        </w:tc>
      </w:tr>
    </w:tbl>
    <w:p/>
    <w:tbl>
      <w:tblPr>
        <w:tblStyle w:val="13"/>
        <w:tblW w:w="93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网络经济学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ind w:firstLine="480" w:firstLineChars="200"/>
              <w:rPr>
                <w:rFonts w:hint="eastAsia" w:ascii="宋体" w:hAnsi="宋体" w:eastAsia="宋体"/>
                <w:sz w:val="24"/>
              </w:rPr>
            </w:pPr>
            <w:r>
              <w:rPr>
                <w:rFonts w:hint="eastAsia" w:ascii="宋体" w:hAnsi="宋体" w:eastAsia="宋体"/>
                <w:sz w:val="24"/>
              </w:rPr>
              <w:t>经过十几年的发展，外卖已经成为人们生活不可或缺的一部分。早期的外卖形式是通过电话订购送货上门，后来随着互联网的不断发展，并结合O2O商业模式，网络外卖平台逐渐出现。2008年饿了么上线，主营在线外卖、新零售、即时配送和餐饮供应链等业务。2013年以后，美团和百度先后上线外卖模块，与饿了么形成外卖行业的三足鼎立之势。</w:t>
            </w:r>
          </w:p>
          <w:p>
            <w:pPr>
              <w:ind w:firstLine="480" w:firstLineChars="200"/>
              <w:rPr>
                <w:rFonts w:hint="eastAsia" w:ascii="宋体" w:hAnsi="宋体" w:eastAsia="宋体"/>
                <w:sz w:val="24"/>
              </w:rPr>
            </w:pPr>
            <w:r>
              <w:rPr>
                <w:rFonts w:hint="eastAsia" w:ascii="宋体" w:hAnsi="宋体" w:eastAsia="宋体"/>
                <w:sz w:val="24"/>
              </w:rPr>
              <w:t>外卖业务上线后得到年轻人的青睐，随着行业逐渐规范，平台对外卖质量和外卖员素质的管控逐渐加强，越来越多的人开始使用外卖平台。根据CNNIC数据显示，2015年底，网上外卖用户规模为1.14亿，占整体网民的16.5%。到2020年底，网上外卖用户规模已经增至4.19亿，占整体网民的42.3%。受新冠疫情的影响，</w:t>
            </w:r>
            <w:r>
              <w:rPr>
                <w:rFonts w:hint="eastAsia" w:ascii="宋体" w:hAnsi="宋体" w:eastAsia="宋体"/>
                <w:sz w:val="24"/>
                <w:lang w:val="en-US" w:eastAsia="zh-CN"/>
              </w:rPr>
              <w:t>外卖行业更加凸显了其在社会中的重要作用。</w:t>
            </w:r>
            <w:r>
              <w:rPr>
                <w:rFonts w:hint="eastAsia" w:ascii="宋体" w:hAnsi="宋体" w:eastAsia="宋体"/>
                <w:sz w:val="24"/>
              </w:rPr>
              <w:t>对于餐饮机构而言，外卖成为了其维持运转、稳定现金流的重要渠道；对于消费者而言，外卖保障了</w:t>
            </w:r>
            <w:r>
              <w:rPr>
                <w:rFonts w:hint="eastAsia" w:ascii="宋体" w:hAnsi="宋体" w:eastAsia="宋体"/>
                <w:sz w:val="24"/>
                <w:lang w:val="en-US" w:eastAsia="zh-CN"/>
              </w:rPr>
              <w:t>其</w:t>
            </w:r>
            <w:r>
              <w:rPr>
                <w:rFonts w:hint="eastAsia" w:ascii="宋体" w:hAnsi="宋体" w:eastAsia="宋体"/>
                <w:sz w:val="24"/>
              </w:rPr>
              <w:t>对生活必需品的消费能力，很多老年人在此次疫情期间也逐渐学会使用外卖平台；对于平台而言，外卖模块成为其重要的收入保障，战略地位愈加明显。外卖业务的出现，改变了人民的生活方式，也对国民</w:t>
            </w:r>
            <w:r>
              <w:rPr>
                <w:rFonts w:hint="eastAsia" w:ascii="宋体" w:hAnsi="宋体" w:eastAsia="宋体"/>
                <w:sz w:val="24"/>
                <w:lang w:val="en-US" w:eastAsia="zh-CN"/>
              </w:rPr>
              <w:t>餐饮</w:t>
            </w:r>
            <w:r>
              <w:rPr>
                <w:rFonts w:hint="eastAsia" w:ascii="宋体" w:hAnsi="宋体" w:eastAsia="宋体"/>
                <w:sz w:val="24"/>
              </w:rPr>
              <w:t>消费</w:t>
            </w:r>
            <w:r>
              <w:rPr>
                <w:rFonts w:hint="eastAsia" w:ascii="宋体" w:hAnsi="宋体" w:eastAsia="宋体"/>
                <w:sz w:val="24"/>
                <w:lang w:val="en-US" w:eastAsia="zh-CN"/>
              </w:rPr>
              <w:t>乃至国民经济</w:t>
            </w:r>
            <w:r>
              <w:rPr>
                <w:rFonts w:hint="eastAsia" w:ascii="宋体" w:hAnsi="宋体" w:eastAsia="宋体"/>
                <w:sz w:val="24"/>
              </w:rPr>
              <w:t>产生了一定的影响。</w:t>
            </w:r>
          </w:p>
          <w:p>
            <w:pPr>
              <w:ind w:firstLine="480" w:firstLineChars="200"/>
              <w:rPr>
                <w:rFonts w:hint="eastAsia" w:ascii="宋体" w:hAnsi="宋体" w:eastAsia="宋体"/>
                <w:sz w:val="24"/>
              </w:rPr>
            </w:pPr>
            <w:r>
              <w:rPr>
                <w:rFonts w:hint="eastAsia" w:ascii="宋体" w:hAnsi="宋体" w:eastAsia="宋体"/>
                <w:sz w:val="24"/>
              </w:rPr>
              <w:t>现有研究多是从宏观角度对网络经济的特征、商业模式、垄断性、发展历程等</w:t>
            </w:r>
            <w:r>
              <w:rPr>
                <w:rFonts w:hint="eastAsia" w:ascii="宋体" w:hAnsi="宋体" w:eastAsia="宋体"/>
                <w:sz w:val="24"/>
                <w:lang w:val="en-US" w:eastAsia="zh-CN"/>
              </w:rPr>
              <w:t>内容</w:t>
            </w:r>
            <w:r>
              <w:rPr>
                <w:rFonts w:hint="eastAsia" w:ascii="宋体" w:hAnsi="宋体" w:eastAsia="宋体"/>
                <w:sz w:val="24"/>
              </w:rPr>
              <w:t>进行了一系列的理论研究，少数学者</w:t>
            </w:r>
            <w:r>
              <w:rPr>
                <w:rFonts w:hint="eastAsia" w:ascii="宋体" w:hAnsi="宋体" w:eastAsia="宋体"/>
                <w:sz w:val="24"/>
                <w:lang w:val="en-US" w:eastAsia="zh-CN"/>
              </w:rPr>
              <w:t>通过实证研究，</w:t>
            </w:r>
            <w:r>
              <w:rPr>
                <w:rFonts w:hint="eastAsia" w:ascii="宋体" w:hAnsi="宋体" w:eastAsia="宋体"/>
                <w:sz w:val="24"/>
              </w:rPr>
              <w:t>探究了网络经济对居民消费或GDP的影响。从中观或微观角度针对网络外卖行业的研究，多是以管理学或社会学为基础进行研究的，部分学者探究了外卖对生活的影响，其他学者则是</w:t>
            </w:r>
            <w:r>
              <w:rPr>
                <w:rFonts w:hint="eastAsia" w:ascii="宋体" w:hAnsi="宋体" w:eastAsia="宋体"/>
                <w:sz w:val="24"/>
                <w:lang w:val="en-US" w:eastAsia="zh-CN"/>
              </w:rPr>
              <w:t>从</w:t>
            </w:r>
            <w:r>
              <w:rPr>
                <w:rFonts w:hint="eastAsia" w:ascii="宋体" w:hAnsi="宋体" w:eastAsia="宋体"/>
                <w:sz w:val="24"/>
              </w:rPr>
              <w:t>行业或企业的</w:t>
            </w:r>
            <w:r>
              <w:rPr>
                <w:rFonts w:hint="eastAsia" w:ascii="宋体" w:hAnsi="宋体" w:eastAsia="宋体"/>
                <w:sz w:val="24"/>
                <w:lang w:val="en-US" w:eastAsia="zh-CN"/>
              </w:rPr>
              <w:t>角度</w:t>
            </w:r>
            <w:r>
              <w:rPr>
                <w:rFonts w:hint="eastAsia" w:ascii="宋体" w:hAnsi="宋体" w:eastAsia="宋体"/>
                <w:sz w:val="24"/>
              </w:rPr>
              <w:t>，</w:t>
            </w:r>
            <w:r>
              <w:rPr>
                <w:rFonts w:hint="eastAsia" w:ascii="宋体" w:hAnsi="宋体" w:eastAsia="宋体"/>
                <w:sz w:val="24"/>
                <w:lang w:val="en-US" w:eastAsia="zh-CN"/>
              </w:rPr>
              <w:t>探究了外卖</w:t>
            </w:r>
            <w:r>
              <w:rPr>
                <w:rFonts w:hint="eastAsia" w:ascii="宋体" w:hAnsi="宋体" w:eastAsia="宋体"/>
                <w:sz w:val="24"/>
              </w:rPr>
              <w:t>行业</w:t>
            </w:r>
            <w:r>
              <w:rPr>
                <w:rFonts w:hint="eastAsia" w:ascii="宋体" w:hAnsi="宋体" w:eastAsia="宋体"/>
                <w:sz w:val="24"/>
                <w:lang w:val="en-US" w:eastAsia="zh-CN"/>
              </w:rPr>
              <w:t>的</w:t>
            </w:r>
            <w:r>
              <w:rPr>
                <w:rFonts w:hint="eastAsia" w:ascii="宋体" w:hAnsi="宋体" w:eastAsia="宋体"/>
                <w:sz w:val="24"/>
              </w:rPr>
              <w:t>发展、品牌建立、竞争策略、商业模式等。目前</w:t>
            </w:r>
            <w:r>
              <w:rPr>
                <w:rFonts w:hint="eastAsia" w:ascii="宋体" w:hAnsi="宋体" w:eastAsia="宋体"/>
                <w:sz w:val="24"/>
                <w:lang w:val="en-US" w:eastAsia="zh-CN"/>
              </w:rPr>
              <w:t>已有</w:t>
            </w:r>
            <w:r>
              <w:rPr>
                <w:rFonts w:hint="eastAsia" w:ascii="宋体" w:hAnsi="宋体" w:eastAsia="宋体"/>
                <w:sz w:val="24"/>
              </w:rPr>
              <w:t>学者将</w:t>
            </w:r>
            <w:r>
              <w:rPr>
                <w:rFonts w:hint="eastAsia" w:ascii="宋体" w:hAnsi="宋体" w:eastAsia="宋体"/>
                <w:sz w:val="24"/>
                <w:lang w:val="en-US" w:eastAsia="zh-CN"/>
              </w:rPr>
              <w:t>网络</w:t>
            </w:r>
            <w:r>
              <w:rPr>
                <w:rFonts w:hint="eastAsia" w:ascii="宋体" w:hAnsi="宋体" w:eastAsia="宋体"/>
                <w:sz w:val="24"/>
              </w:rPr>
              <w:t>外卖与</w:t>
            </w:r>
            <w:r>
              <w:rPr>
                <w:rFonts w:hint="eastAsia" w:ascii="宋体" w:hAnsi="宋体" w:eastAsia="宋体"/>
                <w:sz w:val="24"/>
                <w:lang w:val="en-US" w:eastAsia="zh-CN"/>
              </w:rPr>
              <w:t>餐饮业</w:t>
            </w:r>
            <w:r>
              <w:rPr>
                <w:rFonts w:hint="eastAsia" w:ascii="宋体" w:hAnsi="宋体" w:eastAsia="宋体"/>
                <w:sz w:val="24"/>
              </w:rPr>
              <w:t>联系在一起，</w:t>
            </w:r>
            <w:r>
              <w:rPr>
                <w:rFonts w:hint="eastAsia" w:ascii="宋体" w:hAnsi="宋体" w:eastAsia="宋体"/>
                <w:sz w:val="24"/>
                <w:lang w:val="en-US" w:eastAsia="zh-CN"/>
              </w:rPr>
              <w:t>但都是从理论上讨论了外卖对餐饮业的影响，没有通过实证研究的方式</w:t>
            </w:r>
            <w:r>
              <w:rPr>
                <w:rFonts w:hint="eastAsia" w:ascii="宋体" w:hAnsi="宋体" w:eastAsia="宋体"/>
                <w:sz w:val="24"/>
              </w:rPr>
              <w:t>探究</w:t>
            </w:r>
            <w:r>
              <w:rPr>
                <w:rFonts w:hint="eastAsia" w:ascii="宋体" w:hAnsi="宋体" w:eastAsia="宋体"/>
                <w:sz w:val="24"/>
                <w:lang w:val="en-US" w:eastAsia="zh-CN"/>
              </w:rPr>
              <w:t>外卖与国民餐饮消费</w:t>
            </w:r>
            <w:r>
              <w:rPr>
                <w:rFonts w:hint="eastAsia" w:ascii="宋体" w:hAnsi="宋体" w:eastAsia="宋体"/>
                <w:sz w:val="24"/>
              </w:rPr>
              <w:t>的关系。本文将在现有研究基础上，</w:t>
            </w:r>
            <w:r>
              <w:rPr>
                <w:rFonts w:hint="eastAsia" w:ascii="宋体" w:hAnsi="宋体" w:eastAsia="宋体"/>
                <w:sz w:val="24"/>
                <w:lang w:val="en-US" w:eastAsia="zh-CN"/>
              </w:rPr>
              <w:t>运用实证研究的方式，</w:t>
            </w:r>
            <w:r>
              <w:rPr>
                <w:rFonts w:hint="eastAsia" w:ascii="宋体" w:hAnsi="宋体" w:eastAsia="宋体"/>
                <w:sz w:val="24"/>
              </w:rPr>
              <w:t>探究网络外卖对</w:t>
            </w:r>
            <w:r>
              <w:rPr>
                <w:rFonts w:hint="eastAsia" w:ascii="宋体" w:hAnsi="宋体" w:eastAsia="宋体"/>
                <w:sz w:val="24"/>
                <w:lang w:val="en-US" w:eastAsia="zh-CN"/>
              </w:rPr>
              <w:t>国民餐饮消费</w:t>
            </w:r>
            <w:r>
              <w:rPr>
                <w:rFonts w:hint="eastAsia" w:ascii="宋体" w:hAnsi="宋体" w:eastAsia="宋体"/>
                <w:sz w:val="24"/>
              </w:rPr>
              <w:t>的促进作用，弥补了网络外卖</w:t>
            </w:r>
            <w:r>
              <w:rPr>
                <w:rFonts w:hint="eastAsia" w:ascii="宋体" w:hAnsi="宋体" w:eastAsia="宋体"/>
                <w:sz w:val="24"/>
                <w:lang w:val="en-US" w:eastAsia="zh-CN"/>
              </w:rPr>
              <w:t>和餐饮业</w:t>
            </w:r>
            <w:r>
              <w:rPr>
                <w:rFonts w:hint="eastAsia" w:ascii="宋体" w:hAnsi="宋体" w:eastAsia="宋体"/>
                <w:sz w:val="24"/>
              </w:rPr>
              <w:t>的经济学研究空白。</w:t>
            </w:r>
          </w:p>
          <w:p>
            <w:pPr>
              <w:ind w:firstLine="480" w:firstLineChars="200"/>
              <w:rPr>
                <w:rFonts w:hint="eastAsia" w:ascii="宋体" w:hAnsi="宋体" w:eastAsia="宋体"/>
                <w:sz w:val="24"/>
              </w:rPr>
            </w:pPr>
            <w:r>
              <w:rPr>
                <w:rFonts w:hint="eastAsia" w:ascii="宋体" w:hAnsi="宋体" w:eastAsia="宋体"/>
                <w:sz w:val="24"/>
              </w:rPr>
              <w:t>发展消费型经济是我国实现经济转型的主要目标之一。餐饮作为国民经济的重要组成部分，对我国经济发展具有重要意义。促进国民对餐饮的消费，对扩大国内消费起到重要作用。本文</w:t>
            </w:r>
            <w:r>
              <w:rPr>
                <w:rFonts w:hint="eastAsia" w:ascii="宋体" w:hAnsi="宋体" w:eastAsia="宋体"/>
                <w:sz w:val="24"/>
                <w:lang w:val="en-US" w:eastAsia="zh-CN"/>
              </w:rPr>
              <w:t>将</w:t>
            </w:r>
            <w:r>
              <w:rPr>
                <w:rFonts w:hint="eastAsia" w:ascii="宋体" w:hAnsi="宋体" w:eastAsia="宋体"/>
                <w:sz w:val="24"/>
              </w:rPr>
              <w:t>理论和实证分析</w:t>
            </w:r>
            <w:r>
              <w:rPr>
                <w:rFonts w:hint="eastAsia" w:ascii="宋体" w:hAnsi="宋体" w:eastAsia="宋体"/>
                <w:sz w:val="24"/>
                <w:lang w:val="en-US" w:eastAsia="zh-CN"/>
              </w:rPr>
              <w:t>相结合，</w:t>
            </w:r>
            <w:r>
              <w:rPr>
                <w:rFonts w:hint="eastAsia" w:ascii="宋体" w:hAnsi="宋体" w:eastAsia="宋体"/>
                <w:sz w:val="24"/>
              </w:rPr>
              <w:t>探究网络外卖对我国</w:t>
            </w:r>
            <w:r>
              <w:rPr>
                <w:rFonts w:hint="eastAsia" w:ascii="宋体" w:hAnsi="宋体" w:eastAsia="宋体"/>
                <w:sz w:val="24"/>
                <w:lang w:val="en-US" w:eastAsia="zh-CN"/>
              </w:rPr>
              <w:t>居民餐饮消费的</w:t>
            </w:r>
            <w:r>
              <w:rPr>
                <w:rFonts w:hint="eastAsia" w:ascii="宋体" w:hAnsi="宋体" w:eastAsia="宋体"/>
                <w:sz w:val="24"/>
              </w:rPr>
              <w:t>促进作用，可为网络外卖行业的政策实践提供决策参考</w:t>
            </w:r>
            <w:r>
              <w:rPr>
                <w:rFonts w:hint="eastAsia" w:ascii="宋体" w:hAnsi="宋体" w:eastAsia="宋体"/>
                <w:sz w:val="24"/>
                <w:lang w:eastAsia="zh-CN"/>
              </w:rPr>
              <w:t>，</w:t>
            </w:r>
            <w:r>
              <w:rPr>
                <w:rFonts w:hint="eastAsia" w:ascii="宋体" w:hAnsi="宋体" w:eastAsia="宋体"/>
                <w:sz w:val="24"/>
              </w:rPr>
              <w:t>具有一定的现实意义。</w:t>
            </w:r>
          </w:p>
          <w:p>
            <w:pPr>
              <w:ind w:firstLine="480" w:firstLineChars="200"/>
              <w:rPr>
                <w:rFonts w:hint="eastAsia" w:ascii="宋体" w:hAnsi="宋体" w:eastAsia="宋体"/>
                <w:sz w:val="24"/>
              </w:rPr>
            </w:pPr>
            <w:r>
              <w:rPr>
                <w:rFonts w:hint="eastAsia" w:ascii="宋体" w:hAnsi="宋体" w:eastAsia="宋体"/>
                <w:sz w:val="24"/>
                <w:lang w:val="en-US" w:eastAsia="zh-CN"/>
              </w:rPr>
              <w:t>本文构建了VAR模型探究二者之间的关系。由于网络外卖是互联网和餐饮行业结合的产物，所以本文选取互联网渗透率和网络外卖渗透率作为网络外卖行业发展情况的衡量指标。对于国民餐饮消费的衡量指标，本文选取了历年GDP中的住宿和餐饮业增加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网络外卖对我国居民餐饮消费的影响研究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numPr>
                <w:ilvl w:val="0"/>
                <w:numId w:val="0"/>
              </w:numPr>
              <w:ind w:firstLine="480" w:firstLineChars="200"/>
              <w:rPr>
                <w:rFonts w:hint="eastAsia" w:ascii="宋体" w:hAnsi="宋体" w:eastAsia="宋体"/>
                <w:sz w:val="24"/>
                <w:lang w:val="en-US" w:eastAsia="zh-CN"/>
              </w:rPr>
            </w:pPr>
            <w:r>
              <w:rPr>
                <w:rFonts w:hint="eastAsia" w:ascii="宋体" w:hAnsi="宋体" w:eastAsia="宋体"/>
                <w:sz w:val="24"/>
                <w:lang w:val="en-US" w:eastAsia="zh-CN"/>
              </w:rPr>
              <w:t>本文主要研究网络外卖对我国居民餐饮消费的影响，因此构建VAR模型探究二者之间的关系。由于网络外卖是互联网和餐饮行业结合的产物，所以本文选取互联网渗透率和网络外卖渗透率作为网络外卖行业发展情况的衡量指标。对于国民餐饮消费的衡量指标，本文选取了历年GDP中的住宿和餐饮业增加值</w:t>
            </w:r>
            <w:bookmarkStart w:id="0" w:name="_GoBack"/>
            <w:bookmarkEnd w:id="0"/>
            <w:r>
              <w:rPr>
                <w:rFonts w:hint="eastAsia" w:ascii="宋体" w:hAnsi="宋体" w:eastAsia="宋体"/>
                <w:sz w:val="24"/>
                <w:lang w:val="en-US" w:eastAsia="zh-CN"/>
              </w:rPr>
              <w:t>。本文主要结构如下：第一章介绍了本文研究背景和意义、研究思路和框架、创新点和不足。第二章整理了当前关于网络经济学、外卖和餐饮消费等相关内容的研究情况，是本文研究的理论基石。第三章和第四章是实证研究部分，先介绍了实证研究方法，指标的构建和样本的选取，并进行了描述性统计；随后进行实证分析，依次进行单位根检验，构建VAR模型，脉冲响应和方差分解；最后分析实证结果并给出实证结论。第五章综合当前外卖行业的问题和相关部门对外卖行业的监管现状，对外卖行业的发展提出一些建议。第六章是对本文全部内容的总结。</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文章标题如下：</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第一章 绪论</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1.1研究背景</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1.2研究意义</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1.3研究思路和框架</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1.4本文创新点与不足</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第二章 研究现状与文献综述</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2.1相关概念界定</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2.2关于网络经济学的研究现状</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2.3关于网络外卖的研究现状</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2.4关于餐饮消费的研究现状</w:t>
            </w:r>
          </w:p>
          <w:p>
            <w:pPr>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2.5关于网络外卖对餐饮业影响的研究现状</w:t>
            </w:r>
          </w:p>
          <w:p>
            <w:pPr>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2.6现有研究述评</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第三章 实证研究方法与设计</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3.1实证研究方法介绍</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3.2指标构建与样本选取</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3.3描述性统计</w:t>
            </w:r>
          </w:p>
          <w:p>
            <w:pPr>
              <w:numPr>
                <w:ilvl w:val="0"/>
                <w:numId w:val="1"/>
              </w:numPr>
              <w:ind w:leftChars="0"/>
              <w:rPr>
                <w:rFonts w:hint="eastAsia" w:ascii="宋体" w:hAnsi="宋体" w:eastAsia="宋体"/>
                <w:sz w:val="24"/>
                <w:lang w:val="en-US" w:eastAsia="zh-CN"/>
              </w:rPr>
            </w:pPr>
            <w:r>
              <w:rPr>
                <w:rFonts w:hint="eastAsia" w:ascii="宋体" w:hAnsi="宋体" w:eastAsia="宋体"/>
                <w:sz w:val="24"/>
                <w:lang w:val="en-US" w:eastAsia="zh-CN"/>
              </w:rPr>
              <w:t>实证分析</w:t>
            </w:r>
          </w:p>
          <w:p>
            <w:pPr>
              <w:widowControl w:val="0"/>
              <w:numPr>
                <w:ilvl w:val="0"/>
                <w:numId w:val="0"/>
              </w:numPr>
              <w:jc w:val="both"/>
              <w:rPr>
                <w:rFonts w:hint="eastAsia" w:ascii="宋体" w:hAnsi="宋体" w:eastAsia="宋体"/>
                <w:sz w:val="24"/>
                <w:lang w:val="en-US" w:eastAsia="zh-CN"/>
              </w:rPr>
            </w:pPr>
            <w:r>
              <w:rPr>
                <w:rFonts w:hint="eastAsia" w:ascii="宋体" w:hAnsi="宋体" w:eastAsia="宋体"/>
                <w:sz w:val="24"/>
                <w:lang w:val="en-US" w:eastAsia="zh-CN"/>
              </w:rPr>
              <w:t>4.1数据平稳性检验（ADF检验）</w:t>
            </w:r>
          </w:p>
          <w:p>
            <w:pPr>
              <w:widowControl w:val="0"/>
              <w:numPr>
                <w:ilvl w:val="0"/>
                <w:numId w:val="0"/>
              </w:numPr>
              <w:jc w:val="both"/>
              <w:rPr>
                <w:rFonts w:hint="eastAsia" w:ascii="宋体" w:hAnsi="宋体" w:eastAsia="宋体"/>
                <w:sz w:val="24"/>
                <w:lang w:val="en-US" w:eastAsia="zh-CN"/>
              </w:rPr>
            </w:pPr>
            <w:r>
              <w:rPr>
                <w:rFonts w:hint="eastAsia" w:ascii="宋体" w:hAnsi="宋体" w:eastAsia="宋体"/>
                <w:sz w:val="24"/>
                <w:lang w:val="en-US" w:eastAsia="zh-CN"/>
              </w:rPr>
              <w:t>4.2构建VAR模型（滞后阶数选择与模型稳定性检验）</w:t>
            </w:r>
          </w:p>
          <w:p>
            <w:pPr>
              <w:widowControl w:val="0"/>
              <w:numPr>
                <w:ilvl w:val="0"/>
                <w:numId w:val="0"/>
              </w:numPr>
              <w:jc w:val="both"/>
              <w:rPr>
                <w:rFonts w:hint="eastAsia" w:ascii="宋体" w:hAnsi="宋体" w:eastAsia="宋体"/>
                <w:sz w:val="24"/>
                <w:lang w:val="en-US" w:eastAsia="zh-CN"/>
              </w:rPr>
            </w:pPr>
            <w:r>
              <w:rPr>
                <w:rFonts w:hint="eastAsia" w:ascii="宋体" w:hAnsi="宋体" w:eastAsia="宋体"/>
                <w:sz w:val="24"/>
                <w:lang w:val="en-US" w:eastAsia="zh-CN"/>
              </w:rPr>
              <w:t>4.3脉冲响应</w:t>
            </w:r>
          </w:p>
          <w:p>
            <w:pPr>
              <w:widowControl w:val="0"/>
              <w:numPr>
                <w:ilvl w:val="0"/>
                <w:numId w:val="0"/>
              </w:numPr>
              <w:jc w:val="both"/>
              <w:rPr>
                <w:rFonts w:hint="eastAsia" w:ascii="宋体" w:hAnsi="宋体" w:eastAsia="宋体"/>
                <w:sz w:val="24"/>
                <w:lang w:val="en-US" w:eastAsia="zh-CN"/>
              </w:rPr>
            </w:pPr>
            <w:r>
              <w:rPr>
                <w:rFonts w:hint="eastAsia" w:ascii="宋体" w:hAnsi="宋体" w:eastAsia="宋体"/>
                <w:sz w:val="24"/>
                <w:lang w:val="en-US" w:eastAsia="zh-CN"/>
              </w:rPr>
              <w:t>4.4方差分解</w:t>
            </w:r>
          </w:p>
          <w:p>
            <w:pPr>
              <w:widowControl w:val="0"/>
              <w:numPr>
                <w:ilvl w:val="0"/>
                <w:numId w:val="0"/>
              </w:numPr>
              <w:jc w:val="both"/>
              <w:rPr>
                <w:rFonts w:hint="eastAsia" w:ascii="宋体" w:hAnsi="宋体" w:eastAsia="宋体"/>
                <w:sz w:val="24"/>
                <w:lang w:val="en-US" w:eastAsia="zh-CN"/>
              </w:rPr>
            </w:pPr>
            <w:r>
              <w:rPr>
                <w:rFonts w:hint="eastAsia" w:ascii="宋体" w:hAnsi="宋体" w:eastAsia="宋体"/>
                <w:sz w:val="24"/>
                <w:lang w:val="en-US" w:eastAsia="zh-CN"/>
              </w:rPr>
              <w:t>4.5实证结果分析</w:t>
            </w:r>
          </w:p>
          <w:p>
            <w:pPr>
              <w:widowControl w:val="0"/>
              <w:numPr>
                <w:ilvl w:val="0"/>
                <w:numId w:val="1"/>
              </w:numPr>
              <w:ind w:left="0" w:leftChars="0" w:firstLine="0" w:firstLineChars="0"/>
              <w:jc w:val="both"/>
              <w:rPr>
                <w:rFonts w:hint="eastAsia" w:ascii="宋体" w:hAnsi="宋体" w:eastAsia="宋体"/>
                <w:sz w:val="24"/>
                <w:lang w:val="en-US" w:eastAsia="zh-CN"/>
              </w:rPr>
            </w:pPr>
            <w:r>
              <w:rPr>
                <w:rFonts w:hint="eastAsia" w:ascii="宋体" w:hAnsi="宋体" w:eastAsia="宋体"/>
                <w:sz w:val="24"/>
                <w:lang w:val="en-US" w:eastAsia="zh-CN"/>
              </w:rPr>
              <w:t>网络外卖行业的问题及政策建议</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5.1网络外卖行业的问题分析</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5.2网络外卖行业的监管现状</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5.3对网络外卖行业的政策建议</w:t>
            </w:r>
          </w:p>
          <w:p>
            <w:pPr>
              <w:widowControl w:val="0"/>
              <w:numPr>
                <w:ilvl w:val="0"/>
                <w:numId w:val="0"/>
              </w:numPr>
              <w:ind w:leftChars="0"/>
              <w:jc w:val="both"/>
              <w:rPr>
                <w:rFonts w:hint="default" w:ascii="宋体" w:hAnsi="宋体" w:eastAsia="宋体"/>
                <w:sz w:val="24"/>
                <w:lang w:val="en-US" w:eastAsia="zh-CN"/>
              </w:rPr>
            </w:pPr>
            <w:r>
              <w:rPr>
                <w:rFonts w:hint="eastAsia" w:ascii="宋体" w:hAnsi="宋体" w:eastAsia="宋体"/>
                <w:sz w:val="24"/>
                <w:lang w:val="en-US" w:eastAsia="zh-CN"/>
              </w:rPr>
              <w:t>第六章 本文研究结论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论文素材：王鹏飞.网络经济对我国居民消费的促进作用研究[D].中共中央党校,2014.</w:t>
            </w:r>
          </w:p>
          <w:p>
            <w:pPr>
              <w:rPr>
                <w:rFonts w:hint="eastAsia" w:ascii="宋体" w:hAnsi="宋体" w:eastAsia="宋体"/>
                <w:sz w:val="24"/>
                <w:lang w:val="en-US" w:eastAsia="zh-CN"/>
              </w:rPr>
            </w:pPr>
            <w:r>
              <w:rPr>
                <w:rFonts w:hint="eastAsia" w:ascii="宋体" w:hAnsi="宋体" w:eastAsia="宋体"/>
                <w:sz w:val="24"/>
                <w:lang w:val="en-US" w:eastAsia="zh-CN"/>
              </w:rPr>
              <w:t>数据：2015年12月-2020年12月CNNIC和国家统计局统计年鉴的时间序列数据。</w:t>
            </w:r>
          </w:p>
          <w:p>
            <w:pPr>
              <w:rPr>
                <w:rFonts w:hint="default" w:ascii="宋体" w:hAnsi="宋体" w:eastAsia="宋体"/>
                <w:sz w:val="24"/>
                <w:lang w:val="en-US" w:eastAsia="zh-CN"/>
              </w:rPr>
            </w:pPr>
            <w:r>
              <w:rPr>
                <w:rFonts w:hint="eastAsia" w:ascii="宋体" w:hAnsi="宋体" w:eastAsia="宋体"/>
                <w:sz w:val="24"/>
                <w:lang w:val="en-US" w:eastAsia="zh-CN"/>
              </w:rPr>
              <w:t>参考书目：高铁梅.计量经济分析方法与建模[M].清华大学出版社,2005.</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E72005"/>
    <w:multiLevelType w:val="singleLevel"/>
    <w:tmpl w:val="87E72005"/>
    <w:lvl w:ilvl="0" w:tentative="0">
      <w:start w:val="4"/>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E5705C"/>
    <w:rsid w:val="0A850CE8"/>
    <w:rsid w:val="185D3332"/>
    <w:rsid w:val="1F704333"/>
    <w:rsid w:val="21633D83"/>
    <w:rsid w:val="2371398D"/>
    <w:rsid w:val="2449553F"/>
    <w:rsid w:val="322B02FF"/>
    <w:rsid w:val="37EE6753"/>
    <w:rsid w:val="40042B39"/>
    <w:rsid w:val="430D1B37"/>
    <w:rsid w:val="4FC14DFB"/>
    <w:rsid w:val="5DED09BA"/>
    <w:rsid w:val="5E6B735A"/>
    <w:rsid w:val="6E592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qFormat="1"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character" w:styleId="3">
    <w:name w:val="Strong"/>
    <w:basedOn w:val="2"/>
    <w:qFormat/>
    <w:uiPriority w:val="22"/>
    <w:rPr>
      <w:b/>
    </w:rPr>
  </w:style>
  <w:style w:type="character" w:styleId="4">
    <w:name w:val="FollowedHyperlink"/>
    <w:basedOn w:val="2"/>
    <w:semiHidden/>
    <w:unhideWhenUsed/>
    <w:uiPriority w:val="99"/>
    <w:rPr>
      <w:color w:val="338DE6"/>
      <w:u w:val="none"/>
    </w:rPr>
  </w:style>
  <w:style w:type="character" w:styleId="5">
    <w:name w:val="Emphasis"/>
    <w:basedOn w:val="2"/>
    <w:qFormat/>
    <w:uiPriority w:val="20"/>
  </w:style>
  <w:style w:type="character" w:styleId="6">
    <w:name w:val="HTML Definition"/>
    <w:basedOn w:val="2"/>
    <w:semiHidden/>
    <w:unhideWhenUsed/>
    <w:uiPriority w:val="99"/>
  </w:style>
  <w:style w:type="character" w:styleId="7">
    <w:name w:val="HTML Variable"/>
    <w:basedOn w:val="2"/>
    <w:semiHidden/>
    <w:unhideWhenUsed/>
    <w:qFormat/>
    <w:uiPriority w:val="99"/>
  </w:style>
  <w:style w:type="character" w:styleId="8">
    <w:name w:val="Hyperlink"/>
    <w:basedOn w:val="2"/>
    <w:semiHidden/>
    <w:unhideWhenUsed/>
    <w:uiPriority w:val="99"/>
    <w:rPr>
      <w:color w:val="338DE6"/>
      <w:u w:val="none"/>
    </w:rPr>
  </w:style>
  <w:style w:type="character" w:styleId="9">
    <w:name w:val="HTML Code"/>
    <w:basedOn w:val="2"/>
    <w:semiHidden/>
    <w:unhideWhenUsed/>
    <w:uiPriority w:val="99"/>
    <w:rPr>
      <w:rFonts w:hint="default" w:ascii="serif" w:hAnsi="serif" w:eastAsia="serif" w:cs="serif"/>
      <w:sz w:val="21"/>
      <w:szCs w:val="21"/>
      <w:shd w:val="clear" w:fill="FFFFFF"/>
    </w:rPr>
  </w:style>
  <w:style w:type="character" w:styleId="10">
    <w:name w:val="HTML Cite"/>
    <w:basedOn w:val="2"/>
    <w:semiHidden/>
    <w:unhideWhenUsed/>
    <w:qFormat/>
    <w:uiPriority w:val="99"/>
  </w:style>
  <w:style w:type="character" w:styleId="11">
    <w:name w:val="HTML Keyboard"/>
    <w:basedOn w:val="2"/>
    <w:semiHidden/>
    <w:unhideWhenUsed/>
    <w:uiPriority w:val="99"/>
    <w:rPr>
      <w:rFonts w:ascii="serif" w:hAnsi="serif" w:eastAsia="serif" w:cs="serif"/>
      <w:sz w:val="21"/>
      <w:szCs w:val="21"/>
    </w:rPr>
  </w:style>
  <w:style w:type="character" w:styleId="12">
    <w:name w:val="HTML Sample"/>
    <w:basedOn w:val="2"/>
    <w:semiHidden/>
    <w:unhideWhenUsed/>
    <w:uiPriority w:val="99"/>
    <w:rPr>
      <w:rFonts w:hint="default" w:ascii="serif" w:hAnsi="serif" w:eastAsia="serif" w:cs="serif"/>
      <w:sz w:val="21"/>
      <w:szCs w:val="21"/>
    </w:rPr>
  </w:style>
  <w:style w:type="character" w:customStyle="1" w:styleId="14">
    <w:name w:val="fontborder"/>
    <w:basedOn w:val="2"/>
    <w:qFormat/>
    <w:uiPriority w:val="0"/>
    <w:rPr>
      <w:bdr w:val="single" w:color="000000" w:sz="4" w:space="0"/>
    </w:rPr>
  </w:style>
  <w:style w:type="character" w:customStyle="1" w:styleId="15">
    <w:name w:val="fontstrikethrough"/>
    <w:basedOn w:val="2"/>
    <w:qFormat/>
    <w:uiPriority w:val="0"/>
    <w:rPr>
      <w:strik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70</Words>
  <Characters>402</Characters>
  <Lines>3</Lines>
  <Paragraphs>1</Paragraphs>
  <TotalTime>5</TotalTime>
  <ScaleCrop>false</ScaleCrop>
  <LinksUpToDate>false</LinksUpToDate>
  <CharactersWithSpaces>471</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朱芫蓉</cp:lastModifiedBy>
  <dcterms:modified xsi:type="dcterms:W3CDTF">2021-06-17T09:02:06Z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2052-10.8.2.7058</vt:lpwstr>
  </property>
</Properties>
</file>