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5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109"/>
        <w:gridCol w:w="1112"/>
        <w:gridCol w:w="591"/>
        <w:gridCol w:w="861"/>
        <w:gridCol w:w="600"/>
        <w:gridCol w:w="561"/>
        <w:gridCol w:w="1016"/>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资格卡号</w:t>
            </w:r>
          </w:p>
        </w:tc>
        <w:tc>
          <w:tcPr>
            <w:tcW w:w="2812" w:type="dxa"/>
            <w:gridSpan w:val="3"/>
            <w:vAlign w:val="center"/>
          </w:tcPr>
          <w:p>
            <w:pPr>
              <w:rPr>
                <w:rFonts w:hint="eastAsia" w:ascii="宋体" w:hAnsi="宋体" w:eastAsia="宋体"/>
                <w:sz w:val="24"/>
                <w:lang w:eastAsia="zh-CN"/>
              </w:rPr>
            </w:pPr>
            <w:r>
              <w:rPr>
                <w:rFonts w:hint="eastAsia" w:ascii="宋体" w:hAnsi="宋体" w:eastAsia="宋体"/>
                <w:sz w:val="24"/>
                <w:lang w:eastAsia="zh-CN"/>
              </w:rPr>
              <w:t>61040775</w:t>
            </w:r>
          </w:p>
        </w:tc>
        <w:tc>
          <w:tcPr>
            <w:tcW w:w="1461" w:type="dxa"/>
            <w:gridSpan w:val="2"/>
            <w:vAlign w:val="center"/>
          </w:tcPr>
          <w:p>
            <w:pPr>
              <w:jc w:val="center"/>
              <w:rPr>
                <w:rFonts w:ascii="宋体" w:hAnsi="宋体" w:eastAsia="宋体"/>
                <w:sz w:val="24"/>
              </w:rPr>
            </w:pPr>
            <w:r>
              <w:rPr>
                <w:rFonts w:hint="eastAsia" w:ascii="宋体" w:hAnsi="宋体" w:eastAsia="宋体"/>
                <w:sz w:val="24"/>
              </w:rPr>
              <w:t>姓    名</w:t>
            </w:r>
          </w:p>
        </w:tc>
        <w:tc>
          <w:tcPr>
            <w:tcW w:w="2878"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周丽娴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所在地区</w:t>
            </w:r>
          </w:p>
        </w:tc>
        <w:tc>
          <w:tcPr>
            <w:tcW w:w="2812"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广东深圳</w:t>
            </w:r>
          </w:p>
        </w:tc>
        <w:tc>
          <w:tcPr>
            <w:tcW w:w="1461"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78"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联系电话</w:t>
            </w:r>
          </w:p>
        </w:tc>
        <w:tc>
          <w:tcPr>
            <w:tcW w:w="2812" w:type="dxa"/>
            <w:gridSpan w:val="3"/>
            <w:vAlign w:val="center"/>
          </w:tcPr>
          <w:p>
            <w:pPr>
              <w:rPr>
                <w:rFonts w:hint="eastAsia" w:ascii="宋体" w:hAnsi="宋体" w:eastAsia="宋体"/>
                <w:sz w:val="24"/>
                <w:lang w:eastAsia="zh-CN"/>
              </w:rPr>
            </w:pPr>
            <w:r>
              <w:rPr>
                <w:rFonts w:hint="eastAsia" w:ascii="宋体" w:hAnsi="宋体" w:eastAsia="宋体"/>
                <w:sz w:val="24"/>
                <w:lang w:eastAsia="zh-CN"/>
              </w:rPr>
              <w:t>13530548586</w:t>
            </w:r>
          </w:p>
        </w:tc>
        <w:tc>
          <w:tcPr>
            <w:tcW w:w="1461"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78" w:type="dxa"/>
            <w:gridSpan w:val="3"/>
            <w:vAlign w:val="center"/>
          </w:tcPr>
          <w:p>
            <w:pPr>
              <w:rPr>
                <w:rFonts w:hint="eastAsia" w:ascii="宋体" w:hAnsi="宋体" w:eastAsia="宋体"/>
                <w:sz w:val="24"/>
                <w:lang w:eastAsia="zh-CN"/>
              </w:rPr>
            </w:pPr>
            <w:r>
              <w:rPr>
                <w:rFonts w:hint="eastAsia" w:ascii="宋体" w:hAnsi="宋体" w:eastAsia="宋体"/>
                <w:sz w:val="24"/>
                <w:lang w:eastAsia="zh-CN"/>
              </w:rPr>
              <w:t>546994668@qq.com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本科毕业院校</w:t>
            </w:r>
          </w:p>
        </w:tc>
        <w:tc>
          <w:tcPr>
            <w:tcW w:w="2812"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佛山科学技术学院</w:t>
            </w:r>
          </w:p>
        </w:tc>
        <w:tc>
          <w:tcPr>
            <w:tcW w:w="1461"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78"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教育技术学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工作单位</w:t>
            </w:r>
          </w:p>
        </w:tc>
        <w:tc>
          <w:tcPr>
            <w:tcW w:w="2812"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深圳农商银行</w:t>
            </w:r>
          </w:p>
        </w:tc>
        <w:tc>
          <w:tcPr>
            <w:tcW w:w="1461"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78" w:type="dxa"/>
            <w:gridSpan w:val="3"/>
            <w:vAlign w:val="center"/>
          </w:tcPr>
          <w:p>
            <w:pPr>
              <w:rPr>
                <w:rFonts w:hint="eastAsia" w:ascii="宋体" w:hAnsi="宋体" w:eastAsia="宋体"/>
                <w:sz w:val="24"/>
                <w:lang w:eastAsia="zh-CN"/>
              </w:rPr>
            </w:pPr>
            <w:r>
              <w:rPr>
                <w:rFonts w:hint="eastAsia" w:ascii="宋体" w:hAnsi="宋体" w:eastAsia="宋体"/>
                <w:sz w:val="24"/>
                <w:lang w:eastAsia="zh-CN"/>
              </w:rPr>
              <w:t>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8"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51"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个人简介：本人性格温和，待人友好，为人诚实谦虚。工作勤奋，认真负责，能吃苦耐劳。</w:t>
            </w:r>
          </w:p>
          <w:p>
            <w:pPr>
              <w:rPr>
                <w:rFonts w:hint="eastAsia" w:ascii="宋体" w:hAnsi="宋体" w:eastAsia="宋体"/>
                <w:sz w:val="24"/>
                <w:lang w:eastAsia="zh-CN"/>
              </w:rPr>
            </w:pPr>
            <w:r>
              <w:rPr>
                <w:rFonts w:hint="eastAsia" w:ascii="宋体" w:hAnsi="宋体" w:eastAsia="宋体"/>
                <w:sz w:val="24"/>
                <w:lang w:val="en-US" w:eastAsia="zh-CN"/>
              </w:rPr>
              <w:t>工作经历：</w:t>
            </w:r>
            <w:r>
              <w:rPr>
                <w:rFonts w:hint="eastAsia" w:ascii="宋体" w:hAnsi="宋体" w:eastAsia="宋体"/>
                <w:sz w:val="24"/>
                <w:lang w:eastAsia="zh-CN"/>
              </w:rPr>
              <w:t>2012.07至今深圳农商银行上步支行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科研成果</w:t>
            </w:r>
          </w:p>
        </w:tc>
        <w:tc>
          <w:tcPr>
            <w:tcW w:w="1109"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2" w:type="dxa"/>
            <w:vAlign w:val="center"/>
          </w:tcPr>
          <w:p>
            <w:pPr>
              <w:jc w:val="center"/>
              <w:rPr>
                <w:rFonts w:ascii="宋体" w:hAnsi="宋体" w:eastAsia="宋体"/>
                <w:sz w:val="24"/>
              </w:rPr>
            </w:pPr>
            <w:r>
              <w:rPr>
                <w:rFonts w:hint="eastAsia" w:ascii="宋体" w:hAnsi="宋体" w:eastAsia="宋体"/>
                <w:sz w:val="24"/>
              </w:rPr>
              <w:t>填：是，否</w:t>
            </w:r>
          </w:p>
        </w:tc>
        <w:tc>
          <w:tcPr>
            <w:tcW w:w="1452"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1" w:type="dxa"/>
            <w:gridSpan w:val="2"/>
            <w:vAlign w:val="center"/>
          </w:tcPr>
          <w:p>
            <w:pPr>
              <w:jc w:val="center"/>
              <w:rPr>
                <w:rFonts w:ascii="宋体" w:hAnsi="宋体" w:eastAsia="宋体"/>
                <w:sz w:val="24"/>
              </w:rPr>
            </w:pPr>
            <w:r>
              <w:rPr>
                <w:rFonts w:hint="eastAsia" w:ascii="宋体" w:hAnsi="宋体" w:eastAsia="宋体"/>
                <w:sz w:val="24"/>
              </w:rPr>
              <w:t>填：是，否</w:t>
            </w:r>
          </w:p>
        </w:tc>
        <w:tc>
          <w:tcPr>
            <w:tcW w:w="1016"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1"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发表文章题目</w:t>
            </w:r>
          </w:p>
        </w:tc>
        <w:tc>
          <w:tcPr>
            <w:tcW w:w="7151"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发表文章刊物</w:t>
            </w:r>
          </w:p>
        </w:tc>
        <w:tc>
          <w:tcPr>
            <w:tcW w:w="7151"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6"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51" w:type="dxa"/>
            <w:gridSpan w:val="8"/>
            <w:vAlign w:val="center"/>
          </w:tcPr>
          <w:p>
            <w:pPr>
              <w:rPr>
                <w:rFonts w:ascii="宋体" w:hAnsi="宋体" w:eastAsia="宋体"/>
                <w:sz w:val="24"/>
              </w:rPr>
            </w:pPr>
          </w:p>
        </w:tc>
      </w:tr>
    </w:tbl>
    <w:p/>
    <w:tbl>
      <w:tblPr>
        <w:tblStyle w:val="4"/>
        <w:tblW w:w="95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bookmarkStart w:id="0" w:name="_GoBack" w:colFirst="0" w:colLast="1"/>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51"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互联网金融对经济增长的影响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7151" w:type="dxa"/>
            <w:vAlign w:val="center"/>
          </w:tcPr>
          <w:p>
            <w:pPr>
              <w:rPr>
                <w:rFonts w:hint="default" w:ascii="宋体" w:hAnsi="宋体" w:eastAsia="宋体"/>
                <w:sz w:val="24"/>
                <w:lang w:val="en-US" w:eastAsia="zh-CN"/>
              </w:rPr>
            </w:pPr>
            <w:r>
              <w:rPr>
                <w:rFonts w:hint="eastAsia" w:ascii="宋体" w:hAnsi="宋体" w:eastAsia="宋体"/>
                <w:sz w:val="24"/>
              </w:rPr>
              <w:t>互联网金融就是互联网技术和金融功能的有机结合，依托大数据和云计算在开放的互联网平台上形成的功能化金融业态及其服务体系，包括基于网络平台的金融市场体系、金融服务体系、金融组织体系、金融产品体系以及互联网金融监管体系等，并具有普惠金融、平台金融、信息金融和碎片金融等相异于传统金融的金融模式。</w:t>
            </w:r>
            <w:r>
              <w:rPr>
                <w:rFonts w:hint="eastAsia" w:ascii="宋体" w:hAnsi="宋体" w:eastAsia="宋体"/>
                <w:sz w:val="24"/>
                <w:lang w:val="en-US" w:eastAsia="zh-CN"/>
              </w:rPr>
              <w:t>互联网金融的出现极大地提高了普通大众享受金融服务的便捷性，增强了金融在人们生产生活中的作用，促进了经济增长进而提高了人们的生活水平。互联网金融大发展的过程中对城镇居民的收入产生了多大的影响，对于城镇居民收入结构的变化扮演了什么角色是值得研究的问题，本文的研究将为决策者提供理论和实证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51" w:type="dxa"/>
            <w:vAlign w:val="center"/>
          </w:tcPr>
          <w:p>
            <w:pPr>
              <w:rPr>
                <w:rFonts w:ascii="宋体" w:hAnsi="宋体" w:eastAsia="宋体"/>
                <w:sz w:val="24"/>
              </w:rPr>
            </w:pPr>
            <w:r>
              <w:rPr>
                <w:rFonts w:hint="eastAsia" w:ascii="宋体" w:hAnsi="宋体" w:eastAsia="宋体"/>
                <w:sz w:val="24"/>
                <w:lang w:val="en-US" w:eastAsia="zh-CN"/>
              </w:rPr>
              <w:t>互联网金融发展对城镇居民收入影响研究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6"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拟定学位论文提纲</w:t>
            </w:r>
          </w:p>
        </w:tc>
        <w:tc>
          <w:tcPr>
            <w:tcW w:w="7151" w:type="dxa"/>
            <w:vAlign w:val="center"/>
          </w:tcPr>
          <w:p>
            <w:pPr>
              <w:numPr>
                <w:ilvl w:val="0"/>
                <w:numId w:val="1"/>
              </w:numPr>
              <w:rPr>
                <w:rFonts w:hint="eastAsia" w:ascii="宋体" w:hAnsi="宋体" w:eastAsia="宋体"/>
                <w:b/>
                <w:bCs/>
                <w:sz w:val="24"/>
                <w:lang w:val="en-US" w:eastAsia="zh-CN"/>
              </w:rPr>
            </w:pPr>
            <w:r>
              <w:rPr>
                <w:rFonts w:hint="eastAsia" w:ascii="宋体" w:hAnsi="宋体" w:eastAsia="宋体"/>
                <w:b/>
                <w:bCs/>
                <w:sz w:val="24"/>
                <w:lang w:val="en-US" w:eastAsia="zh-CN"/>
              </w:rPr>
              <w:t>绪论</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1.1研究背景及意义</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2013年以来，以余额宝为代表的互联网金融产品迅速崛起，挑战银行等传统金融机构的地位。本文研究的理论意义在于把互联网金融的大发展与城镇居民收入的变化联系起来探讨，实践意义在于通过相关数据的实证分析，探究互联网金融发展对城镇居民收入及结构的影响程度大小，为引导互联网金融的发展政策提供建议。</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1.2研究内容和方法</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介绍文章的内容安排，使用方法为文献研究法、理论分析法、案例分析法</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1.3创新点</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分别探讨互联网金融发展对城镇居民人均可支配收入总量的影响，及对其四个组成部分即工资性收入、经营净收入、财产净收入、转移净收入及各自占比的影响，即与城镇居民收入的绝对量和结构的关系。</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选取广东省的数据进行了实证定量分析。</w:t>
            </w:r>
          </w:p>
          <w:p>
            <w:pPr>
              <w:numPr>
                <w:ilvl w:val="0"/>
                <w:numId w:val="1"/>
              </w:numPr>
              <w:ind w:left="0" w:leftChars="0" w:firstLine="0" w:firstLineChars="0"/>
              <w:rPr>
                <w:rFonts w:hint="eastAsia" w:ascii="宋体" w:hAnsi="宋体" w:eastAsia="宋体"/>
                <w:b/>
                <w:bCs/>
                <w:sz w:val="24"/>
                <w:lang w:val="en-US" w:eastAsia="zh-CN"/>
              </w:rPr>
            </w:pPr>
            <w:r>
              <w:rPr>
                <w:rFonts w:hint="eastAsia" w:ascii="宋体" w:hAnsi="宋体" w:eastAsia="宋体"/>
                <w:b/>
                <w:bCs/>
                <w:sz w:val="24"/>
                <w:lang w:val="en-US" w:eastAsia="zh-CN"/>
              </w:rPr>
              <w:t>文献综述</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2.1 互联网金融的相关研究</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国内外对于互联网金融开展研究的文献综述</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2.2 金融发展对居民收入影响的相关研究</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国内外对于金融发展（包含互联网金融）和居民收入相关关系研究的文献综述</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2.3 文献评述</w:t>
            </w:r>
          </w:p>
          <w:p>
            <w:pPr>
              <w:numPr>
                <w:ilvl w:val="0"/>
                <w:numId w:val="0"/>
              </w:numPr>
              <w:ind w:leftChars="0"/>
              <w:rPr>
                <w:rFonts w:hint="default" w:ascii="宋体" w:hAnsi="宋体" w:eastAsia="宋体"/>
                <w:b w:val="0"/>
                <w:bCs w:val="0"/>
                <w:sz w:val="24"/>
                <w:lang w:val="en-US" w:eastAsia="zh-CN"/>
              </w:rPr>
            </w:pPr>
            <w:r>
              <w:rPr>
                <w:rFonts w:hint="eastAsia" w:ascii="宋体" w:hAnsi="宋体" w:eastAsia="宋体"/>
                <w:b w:val="0"/>
                <w:bCs w:val="0"/>
                <w:sz w:val="24"/>
                <w:lang w:val="en-US" w:eastAsia="zh-CN"/>
              </w:rPr>
              <w:t>对上述文献综述的总结</w:t>
            </w:r>
          </w:p>
          <w:p>
            <w:pPr>
              <w:numPr>
                <w:ilvl w:val="0"/>
                <w:numId w:val="1"/>
              </w:numPr>
              <w:ind w:left="0" w:leftChars="0" w:firstLine="0" w:firstLineChars="0"/>
              <w:rPr>
                <w:rFonts w:hint="eastAsia" w:ascii="宋体" w:hAnsi="宋体" w:eastAsia="宋体"/>
                <w:b/>
                <w:bCs/>
                <w:sz w:val="24"/>
                <w:lang w:val="en-US" w:eastAsia="zh-CN"/>
              </w:rPr>
            </w:pPr>
            <w:r>
              <w:rPr>
                <w:rFonts w:hint="eastAsia" w:ascii="宋体" w:hAnsi="宋体" w:eastAsia="宋体"/>
                <w:b/>
                <w:bCs/>
                <w:sz w:val="24"/>
                <w:lang w:val="en-US" w:eastAsia="zh-CN"/>
              </w:rPr>
              <w:t>互联网金融发展与城镇居民收入</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3.1互联网金融的内涵</w:t>
            </w:r>
          </w:p>
          <w:p>
            <w:pPr>
              <w:numPr>
                <w:ilvl w:val="0"/>
                <w:numId w:val="0"/>
              </w:numPr>
              <w:ind w:leftChars="0"/>
              <w:rPr>
                <w:rFonts w:hint="default" w:ascii="宋体" w:hAnsi="宋体" w:eastAsia="宋体"/>
                <w:b w:val="0"/>
                <w:bCs w:val="0"/>
                <w:sz w:val="24"/>
                <w:lang w:val="en-US" w:eastAsia="zh-CN"/>
              </w:rPr>
            </w:pPr>
            <w:r>
              <w:rPr>
                <w:rFonts w:hint="eastAsia" w:ascii="宋体" w:hAnsi="宋体" w:eastAsia="宋体"/>
                <w:b w:val="0"/>
                <w:bCs w:val="0"/>
                <w:sz w:val="24"/>
                <w:lang w:val="en-US" w:eastAsia="zh-CN"/>
              </w:rPr>
              <w:t>阐述互联网金融的定义、特征、分类等</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3.2城镇居民收入结构分析</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城镇居民人均可支配收入随着时间的变化趋势分析。</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它的四个组成部分工资性收入、经营净收入、财产净收入、转移净收入随着时间的变化趋势及占比变化分析，以广东省相关数据做定量分析。</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3.3互联网金融对城镇居民收入的影响机理分析</w:t>
            </w:r>
          </w:p>
          <w:p>
            <w:pPr>
              <w:numPr>
                <w:ilvl w:val="0"/>
                <w:numId w:val="0"/>
              </w:numPr>
              <w:ind w:leftChars="0"/>
              <w:rPr>
                <w:rFonts w:hint="default" w:ascii="宋体" w:hAnsi="宋体" w:eastAsia="宋体"/>
                <w:b/>
                <w:bCs/>
                <w:sz w:val="24"/>
                <w:lang w:val="en-US" w:eastAsia="zh-CN"/>
              </w:rPr>
            </w:pPr>
            <w:r>
              <w:rPr>
                <w:rFonts w:hint="eastAsia" w:ascii="宋体" w:hAnsi="宋体" w:eastAsia="宋体"/>
                <w:b w:val="0"/>
                <w:bCs w:val="0"/>
                <w:sz w:val="24"/>
                <w:lang w:val="en-US" w:eastAsia="zh-CN"/>
              </w:rPr>
              <w:t>定性分析互联网金融通过哪些渠道影响城镇居民收入的传导路径</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3.4 研究假设</w:t>
            </w:r>
          </w:p>
          <w:p>
            <w:pPr>
              <w:numPr>
                <w:ilvl w:val="0"/>
                <w:numId w:val="0"/>
              </w:numPr>
              <w:ind w:leftChars="0"/>
              <w:rPr>
                <w:rFonts w:hint="default" w:ascii="宋体" w:hAnsi="宋体" w:eastAsia="宋体"/>
                <w:b w:val="0"/>
                <w:bCs w:val="0"/>
                <w:sz w:val="24"/>
                <w:lang w:val="en-US" w:eastAsia="zh-CN"/>
              </w:rPr>
            </w:pPr>
            <w:r>
              <w:rPr>
                <w:rFonts w:hint="eastAsia" w:ascii="宋体" w:hAnsi="宋体" w:eastAsia="宋体"/>
                <w:b w:val="0"/>
                <w:bCs w:val="0"/>
                <w:sz w:val="24"/>
                <w:lang w:val="en-US" w:eastAsia="zh-CN"/>
              </w:rPr>
              <w:t>互联网金融的发展对城镇居民人均可支配收入的影响，对</w:t>
            </w:r>
            <w:r>
              <w:rPr>
                <w:rFonts w:hint="eastAsia" w:ascii="宋体" w:hAnsi="宋体" w:eastAsia="宋体"/>
                <w:sz w:val="24"/>
                <w:lang w:val="en-US" w:eastAsia="zh-CN"/>
              </w:rPr>
              <w:t>工资性收入、经营净收入、财产净收入、转移净收入及其占比的影响。</w:t>
            </w:r>
          </w:p>
          <w:p>
            <w:pPr>
              <w:numPr>
                <w:ilvl w:val="0"/>
                <w:numId w:val="1"/>
              </w:numPr>
              <w:ind w:left="0" w:leftChars="0" w:firstLine="0" w:firstLineChars="0"/>
              <w:rPr>
                <w:rFonts w:hint="eastAsia" w:ascii="宋体" w:hAnsi="宋体" w:eastAsia="宋体"/>
                <w:b/>
                <w:bCs/>
                <w:sz w:val="24"/>
                <w:lang w:val="en-US" w:eastAsia="zh-CN"/>
              </w:rPr>
            </w:pPr>
            <w:r>
              <w:rPr>
                <w:rFonts w:hint="eastAsia" w:ascii="宋体" w:hAnsi="宋体" w:eastAsia="宋体"/>
                <w:b/>
                <w:bCs/>
                <w:sz w:val="24"/>
                <w:lang w:val="en-US" w:eastAsia="zh-CN"/>
              </w:rPr>
              <w:t>实证研究</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4.1 指标选取</w:t>
            </w:r>
          </w:p>
          <w:p>
            <w:pPr>
              <w:numPr>
                <w:ilvl w:val="0"/>
                <w:numId w:val="0"/>
              </w:numPr>
              <w:ind w:leftChars="0"/>
              <w:rPr>
                <w:rFonts w:hint="default" w:ascii="宋体" w:hAnsi="宋体" w:eastAsia="宋体"/>
                <w:b/>
                <w:bCs/>
                <w:sz w:val="24"/>
                <w:lang w:val="en-US" w:eastAsia="zh-CN"/>
              </w:rPr>
            </w:pPr>
            <w:r>
              <w:rPr>
                <w:rFonts w:hint="eastAsia" w:ascii="宋体" w:hAnsi="宋体" w:eastAsia="宋体"/>
                <w:b w:val="0"/>
                <w:bCs w:val="0"/>
                <w:sz w:val="24"/>
                <w:lang w:val="en-US" w:eastAsia="zh-CN"/>
              </w:rPr>
              <w:t>确定被解释变量、解释变量和控制变量</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4.2 数据收集及处理</w:t>
            </w:r>
          </w:p>
          <w:p>
            <w:pPr>
              <w:numPr>
                <w:ilvl w:val="0"/>
                <w:numId w:val="0"/>
              </w:numPr>
              <w:ind w:leftChars="0"/>
              <w:rPr>
                <w:rFonts w:hint="default" w:ascii="宋体" w:hAnsi="宋体" w:eastAsia="宋体"/>
                <w:b w:val="0"/>
                <w:bCs w:val="0"/>
                <w:sz w:val="24"/>
                <w:lang w:val="en-US" w:eastAsia="zh-CN"/>
              </w:rPr>
            </w:pPr>
            <w:r>
              <w:rPr>
                <w:rFonts w:hint="eastAsia" w:ascii="宋体" w:hAnsi="宋体" w:eastAsia="宋体"/>
                <w:b w:val="0"/>
                <w:bCs w:val="0"/>
                <w:sz w:val="24"/>
                <w:lang w:val="en-US" w:eastAsia="zh-CN"/>
              </w:rPr>
              <w:t>阐述数据来源，收集情况，描述性统计，单位根和协整检验</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4.3 模型构建</w:t>
            </w:r>
          </w:p>
          <w:p>
            <w:pPr>
              <w:numPr>
                <w:ilvl w:val="0"/>
                <w:numId w:val="0"/>
              </w:numPr>
              <w:ind w:leftChars="0"/>
              <w:rPr>
                <w:rFonts w:hint="default" w:ascii="宋体" w:hAnsi="宋体" w:eastAsia="宋体"/>
                <w:b w:val="0"/>
                <w:bCs w:val="0"/>
                <w:sz w:val="24"/>
                <w:lang w:val="en-US" w:eastAsia="zh-CN"/>
              </w:rPr>
            </w:pPr>
            <w:r>
              <w:rPr>
                <w:rFonts w:hint="eastAsia" w:ascii="宋体" w:hAnsi="宋体" w:eastAsia="宋体"/>
                <w:b w:val="0"/>
                <w:bCs w:val="0"/>
                <w:sz w:val="24"/>
                <w:lang w:val="en-US" w:eastAsia="zh-CN"/>
              </w:rPr>
              <w:t>利用时间序列数据建立多元线性回归模型</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4.4 回归结果分析</w:t>
            </w:r>
          </w:p>
          <w:p>
            <w:pPr>
              <w:numPr>
                <w:ilvl w:val="0"/>
                <w:numId w:val="0"/>
              </w:numPr>
              <w:ind w:leftChars="0"/>
              <w:rPr>
                <w:rFonts w:hint="default" w:ascii="宋体" w:hAnsi="宋体" w:eastAsia="宋体"/>
                <w:b w:val="0"/>
                <w:bCs w:val="0"/>
                <w:sz w:val="24"/>
                <w:lang w:val="en-US" w:eastAsia="zh-CN"/>
              </w:rPr>
            </w:pPr>
            <w:r>
              <w:rPr>
                <w:rFonts w:hint="eastAsia" w:ascii="宋体" w:hAnsi="宋体" w:eastAsia="宋体"/>
                <w:b w:val="0"/>
                <w:bCs w:val="0"/>
                <w:sz w:val="24"/>
                <w:lang w:val="en-US" w:eastAsia="zh-CN"/>
              </w:rPr>
              <w:t>分析回归结果是否验证了研究假设</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第五章 研究结论及政策建议</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5.1 研究结论</w:t>
            </w:r>
          </w:p>
          <w:p>
            <w:pPr>
              <w:numPr>
                <w:ilvl w:val="0"/>
                <w:numId w:val="0"/>
              </w:numPr>
              <w:ind w:leftChars="0"/>
              <w:rPr>
                <w:rFonts w:hint="default" w:ascii="宋体" w:hAnsi="宋体" w:eastAsia="宋体"/>
                <w:b/>
                <w:bCs/>
                <w:sz w:val="24"/>
                <w:lang w:val="en-US" w:eastAsia="zh-CN"/>
              </w:rPr>
            </w:pPr>
            <w:r>
              <w:rPr>
                <w:rFonts w:hint="eastAsia" w:ascii="宋体" w:hAnsi="宋体" w:eastAsia="宋体"/>
                <w:b/>
                <w:bCs/>
                <w:sz w:val="24"/>
                <w:lang w:val="en-US" w:eastAsia="zh-CN"/>
              </w:rPr>
              <w:t>5.2 政策建议</w:t>
            </w:r>
          </w:p>
          <w:p>
            <w:pPr>
              <w:numPr>
                <w:ilvl w:val="0"/>
                <w:numId w:val="0"/>
              </w:numPr>
              <w:ind w:leftChars="0"/>
              <w:rPr>
                <w:rFonts w:hint="default" w:ascii="宋体" w:hAnsi="宋体" w:eastAsia="宋体"/>
                <w:sz w:val="24"/>
                <w:lang w:val="en-US" w:eastAsia="zh-CN"/>
              </w:rPr>
            </w:pPr>
          </w:p>
          <w:p>
            <w:pPr>
              <w:numPr>
                <w:ilvl w:val="0"/>
                <w:numId w:val="0"/>
              </w:numPr>
              <w:ind w:left="0" w:leftChars="0" w:firstLine="0" w:firstLineChars="0"/>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3" w:hRule="atLeast"/>
          <w:jc w:val="center"/>
        </w:trPr>
        <w:tc>
          <w:tcPr>
            <w:tcW w:w="2419" w:type="dxa"/>
            <w:vAlign w:val="center"/>
          </w:tcPr>
          <w:p>
            <w:pPr>
              <w:numPr>
                <w:ilvl w:val="0"/>
                <w:numId w:val="0"/>
              </w:numPr>
              <w:ind w:left="0" w:leftChars="0" w:firstLine="0" w:firstLineChars="0"/>
              <w:rPr>
                <w:rFonts w:ascii="宋体" w:hAnsi="宋体" w:eastAsia="宋体"/>
                <w:sz w:val="24"/>
              </w:rPr>
            </w:pPr>
            <w:r>
              <w:rPr>
                <w:rFonts w:hint="eastAsia" w:ascii="宋体" w:hAnsi="宋体" w:eastAsia="宋体" w:cs="宋体"/>
                <w:color w:val="000000"/>
                <w:kern w:val="0"/>
                <w:sz w:val="18"/>
                <w:szCs w:val="18"/>
                <w:lang w:val="en-US" w:eastAsia="zh-CN"/>
              </w:rPr>
              <w:t>论文素材、数据及参考书目</w:t>
            </w:r>
          </w:p>
        </w:tc>
        <w:tc>
          <w:tcPr>
            <w:tcW w:w="7151" w:type="dxa"/>
            <w:vAlign w:val="center"/>
          </w:tcPr>
          <w:p>
            <w:pPr>
              <w:numPr>
                <w:ilvl w:val="0"/>
                <w:numId w:val="2"/>
              </w:num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王燕. 应用时间序列分析[M]. 中国人民大学出版社, 2005.</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高铁梅. 计量经济分析方法与建模[M]. 清华大学出版社, 2009.</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李子奈, 潘文卿. 计量经济学-第二版[M]. 高等教育出版社, 2005.</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罗小兰. 互联网金融发展对城乡居民收入差距的影响[J]. 农业经济, 2019, 000(001):80-81.</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程章. 互联网金融,国民储蓄率与经济增长[D]. 山东大学.</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蒋娜, 曾强华. 互联网金融对国民经济增长的促进作用研究[J]. 投资与创业.</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张彤进. 中国包容性金融发展对城乡居民收入差距的影响机制研究. 天津财经大学.</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潘永昕, 高麟睿. 甘肃省金融发展对城乡居民收入差距的影响[J]. 甘肃社会科学, 2015(03):173-177.</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董晓林, 张晓艳. 金融发展对城乡居民收入差距的影响——基于空间计量模型的实证研究[J]. 南京农业大学学报(社会科学版), 2013(03):38-44.</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贾佳. 互联网金融发展对农村经济增长的影响剖析[J]. 大众投资指南, 2020, No.366(22):30-31.</w:t>
            </w:r>
          </w:p>
          <w:p>
            <w:pPr>
              <w:numPr>
                <w:ilvl w:val="0"/>
                <w:numId w:val="2"/>
              </w:num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Deininger K ,  Byerlee D . The Rise of Large Farms in Land Abundant Countries: Do They Have a Future?[J]. World Development, 2012, 40.</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Freedman C . Monetary Policy Implementation: Past, Present and Future--Will Electronic Money Lead to the Eventual Demise of Central Banking?[J]. International Finance, 2010, 3(2):211-227.</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King M A . Challenges for Monetary Policy: New and Old[C]// Economic Policy Symposium-jackson Hole. Federal Reserve Bank of Kansas City, 1999.</w:t>
            </w:r>
          </w:p>
          <w:p>
            <w:pPr>
              <w:numPr>
                <w:ilvl w:val="0"/>
                <w:numId w:val="2"/>
              </w:numPr>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Goodhart C . Can Central Banking Survive the IT Revolution?[J]. International Finance, 2010, 3(2):189-209.</w:t>
            </w:r>
          </w:p>
          <w:p>
            <w:pPr>
              <w:numPr>
                <w:ilvl w:val="0"/>
                <w:numId w:val="2"/>
              </w:numPr>
              <w:rPr>
                <w:rFonts w:ascii="宋体" w:hAnsi="宋体" w:eastAsia="宋体" w:cs="宋体"/>
                <w:color w:val="000000"/>
                <w:kern w:val="0"/>
                <w:sz w:val="18"/>
                <w:szCs w:val="18"/>
              </w:rPr>
            </w:pPr>
            <w:r>
              <w:rPr>
                <w:rFonts w:hint="default" w:ascii="宋体" w:hAnsi="宋体" w:eastAsia="宋体" w:cs="宋体"/>
                <w:color w:val="000000"/>
                <w:kern w:val="0"/>
                <w:sz w:val="18"/>
                <w:szCs w:val="18"/>
                <w:lang w:val="en-US" w:eastAsia="zh-CN"/>
              </w:rPr>
              <w:t>Arnone M ,  Bandiera L . Monetary Policy, Monetary Areas, and Financial Development with Electronic Money[J]. IMF Working Papers, 2004.</w:t>
            </w:r>
          </w:p>
        </w:tc>
      </w:tr>
      <w:bookmarkEnd w:id="0"/>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6491D6"/>
    <w:multiLevelType w:val="multilevel"/>
    <w:tmpl w:val="A56491D6"/>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4A86D19"/>
    <w:multiLevelType w:val="singleLevel"/>
    <w:tmpl w:val="E4A86D19"/>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B55F61"/>
    <w:rsid w:val="0AC9483F"/>
    <w:rsid w:val="440813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0</TotalTime>
  <ScaleCrop>false</ScaleCrop>
  <LinksUpToDate>false</LinksUpToDate>
  <CharactersWithSpaces>471</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2021-01-20T16:38:00Z</dcterms:created>
  <dc:creator>Qi Hang</dc:creator>
  <cp:lastModifiedBy>Administrator</cp:lastModifiedBy>
  <dcterms:modified xsi:type="dcterms:W3CDTF">2021-06-09T08:06:01Z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y fmtid="{D5CDD505-2E9C-101B-9397-08002B2CF9AE}" pid="3" name="ICV">
    <vt:lpwstr>C43039703D0448549BF3807AD7DD4050</vt:lpwstr>
  </property>
</Properties>
</file>