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71040657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林晨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北京市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18671789617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lin_chen</w:t>
            </w:r>
            <w:r>
              <w:rPr>
                <w:rFonts w:ascii="宋体" w:hAnsi="宋体" w:eastAsia="宋体"/>
                <w:sz w:val="24"/>
              </w:rPr>
              <w:t>@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@ctg.com.cn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测绘工程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中国长江三峡集团有限公司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林晨</w:t>
            </w:r>
            <w:r>
              <w:rPr>
                <w:rFonts w:ascii="宋体" w:hAnsi="宋体" w:eastAsia="宋体"/>
                <w:sz w:val="24"/>
              </w:rPr>
              <w:t>，19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90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</w:t>
            </w:r>
            <w:r>
              <w:rPr>
                <w:rFonts w:ascii="宋体" w:hAnsi="宋体" w:eastAsia="宋体"/>
                <w:sz w:val="24"/>
              </w:rPr>
              <w:t>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宜昌市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湖北省武汉</w:t>
            </w:r>
            <w:r>
              <w:rPr>
                <w:rFonts w:ascii="宋体" w:hAnsi="宋体" w:eastAsia="宋体"/>
                <w:sz w:val="24"/>
              </w:rPr>
              <w:t>大学。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2009年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24"/>
              </w:rPr>
              <w:t>月-20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16年</w:t>
            </w:r>
            <w:r>
              <w:rPr>
                <w:rFonts w:hint="default" w:ascii="宋体" w:hAnsi="宋体" w:eastAsia="宋体"/>
                <w:sz w:val="24"/>
              </w:rPr>
              <w:t>5月就职于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三峡高科信息技术有限责任公司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2016年6月</w:t>
            </w:r>
            <w:r>
              <w:rPr>
                <w:rFonts w:hint="default" w:ascii="宋体" w:hAnsi="宋体" w:eastAsia="宋体"/>
                <w:sz w:val="24"/>
              </w:rPr>
              <w:t>-至今，就职于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中国长江三峡集团有限公司</w:t>
            </w:r>
            <w:r>
              <w:rPr>
                <w:rFonts w:hint="default" w:ascii="宋体" w:hAnsi="宋体" w:eastAsia="宋体"/>
                <w:sz w:val="24"/>
              </w:rPr>
              <w:t>，任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主办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3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本文以中国经济周期为研究背景,通过对上市银行数据的实证研究,检验宏观经济因素对银行信贷的影响。经济周期与信贷周期的关系，经济周期与信贷周期的关系，研究信贷周期与经济长期正在间的关系。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3383"/>
              </w:tabs>
              <w:spacing w:before="0" w:beforeAutospacing="0" w:after="0" w:afterAutospacing="0"/>
              <w:ind w:left="0" w:right="0" w:firstLine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instrText xml:space="preserve"> HYPERLINK "http://qikan.cqvip.com/Qikan/Article/Detail?id=39520557" \t "https://xueshu.baidu.com/usercenter/paper/_blank" </w:instrText>
            </w:r>
            <w:r>
              <w:rPr>
                <w:rFonts w:hint="eastAsia" w:ascii="宋体" w:hAnsi="宋体" w:eastAsia="宋体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t>经济周期</w:t>
            </w:r>
            <w:r>
              <w:rPr>
                <w:rFonts w:hint="eastAsia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t>、银行信贷周期</w:t>
            </w:r>
            <w:r>
              <w:rPr>
                <w:rFonts w:hint="eastAsia" w:ascii="宋体" w:hAnsi="宋体" w:eastAsia="宋体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t>与</w:t>
            </w:r>
            <w:r>
              <w:rPr>
                <w:rFonts w:hint="eastAsia" w:ascii="宋体" w:hAnsi="宋体" w:eastAsia="宋体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cstheme="minorBidi"/>
                <w:b w:val="0"/>
                <w:kern w:val="2"/>
                <w:sz w:val="24"/>
                <w:szCs w:val="22"/>
                <w:lang w:val="en-US" w:eastAsia="zh-CN" w:bidi="ar-SA"/>
              </w:rPr>
              <w:t>经济增长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（写至二级标题，一级标题为章，二级标题为节）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绪论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研究思路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本文的创新与不足之处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文献综述与理论基础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 基本概念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2.2文献综述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指标构建与样板选取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 样本选取与数据来源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 变量说明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第四章 实证分析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统计分析结果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相关性分析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第五章 研究结论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 研究结论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 相关建议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上市公司数据；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中国经济增长数据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43476"/>
    <w:multiLevelType w:val="multilevel"/>
    <w:tmpl w:val="B8E4347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6565E7A"/>
    <w:multiLevelType w:val="singleLevel"/>
    <w:tmpl w:val="E6565E7A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5FE2481"/>
    <w:rsid w:val="164B2644"/>
    <w:rsid w:val="1FAA7E60"/>
    <w:rsid w:val="3A3D3419"/>
    <w:rsid w:val="44EF20D9"/>
    <w:rsid w:val="4AB94831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54</TotalTime>
  <ScaleCrop>false</ScaleCrop>
  <LinksUpToDate>false</LinksUpToDate>
  <CharactersWithSpaces>471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2021-01-21T08:38:00Z</dcterms:created>
  <dc:creator>Qi Hang</dc:creator>
  <cp:lastModifiedBy>林晨</cp:lastModifiedBy>
  <dcterms:modified xsi:type="dcterms:W3CDTF">2021-07-07T09:45:49Z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