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109"/>
        <w:gridCol w:w="1112"/>
        <w:gridCol w:w="591"/>
        <w:gridCol w:w="861"/>
        <w:gridCol w:w="600"/>
        <w:gridCol w:w="561"/>
        <w:gridCol w:w="1016"/>
        <w:gridCol w:w="1301"/>
      </w:tblGrid>
      <w:tr w:rsidR="00AB5DD7" w:rsidRPr="00AB5DD7" w14:paraId="2CE97C69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12" w:type="dxa"/>
            <w:gridSpan w:val="3"/>
            <w:vAlign w:val="center"/>
          </w:tcPr>
          <w:p w14:paraId="1702AB67" w14:textId="0B63462B" w:rsidR="00AB5DD7" w:rsidRPr="00AB5DD7" w:rsidRDefault="006C05E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71041098</w:t>
            </w:r>
          </w:p>
        </w:tc>
        <w:tc>
          <w:tcPr>
            <w:tcW w:w="1461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78" w:type="dxa"/>
            <w:gridSpan w:val="3"/>
            <w:vAlign w:val="center"/>
          </w:tcPr>
          <w:p w14:paraId="403ADAD2" w14:textId="2B3A43BC" w:rsidR="00AB5DD7" w:rsidRPr="00AB5DD7" w:rsidRDefault="00280EF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朱迪</w:t>
            </w:r>
          </w:p>
        </w:tc>
      </w:tr>
      <w:tr w:rsidR="00AB5DD7" w:rsidRPr="00AB5DD7" w14:paraId="7CDC9830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12" w:type="dxa"/>
            <w:gridSpan w:val="3"/>
            <w:vAlign w:val="center"/>
          </w:tcPr>
          <w:p w14:paraId="5B040D0B" w14:textId="3DD5ABB7" w:rsidR="00AB5DD7" w:rsidRPr="00AB5DD7" w:rsidRDefault="00280EF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61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78" w:type="dxa"/>
            <w:gridSpan w:val="3"/>
            <w:vAlign w:val="center"/>
          </w:tcPr>
          <w:p w14:paraId="410BCDA2" w14:textId="51830A98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12" w:type="dxa"/>
            <w:gridSpan w:val="3"/>
            <w:vAlign w:val="center"/>
          </w:tcPr>
          <w:p w14:paraId="765DC541" w14:textId="51C4958F" w:rsidR="00AB5DD7" w:rsidRPr="00AB5DD7" w:rsidRDefault="00280EF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3810034373</w:t>
            </w:r>
          </w:p>
        </w:tc>
        <w:tc>
          <w:tcPr>
            <w:tcW w:w="1461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78" w:type="dxa"/>
            <w:gridSpan w:val="3"/>
            <w:vAlign w:val="center"/>
          </w:tcPr>
          <w:p w14:paraId="77B897CE" w14:textId="4F5BD0C3" w:rsidR="00AB5DD7" w:rsidRPr="00AB5DD7" w:rsidRDefault="00122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k</w:t>
            </w:r>
            <w:r w:rsidR="00280EF3">
              <w:rPr>
                <w:rFonts w:ascii="宋体" w:eastAsia="宋体" w:hAnsi="宋体" w:hint="eastAsia"/>
                <w:sz w:val="24"/>
              </w:rPr>
              <w:t>ermit</w:t>
            </w:r>
            <w:r w:rsidR="00280EF3">
              <w:rPr>
                <w:rFonts w:ascii="宋体" w:eastAsia="宋体" w:hAnsi="宋体"/>
                <w:sz w:val="24"/>
              </w:rPr>
              <w:t>_di@163.com</w:t>
            </w:r>
          </w:p>
        </w:tc>
      </w:tr>
      <w:tr w:rsidR="00AB5DD7" w:rsidRPr="00AB5DD7" w14:paraId="72DFC7BD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12" w:type="dxa"/>
            <w:gridSpan w:val="3"/>
            <w:vAlign w:val="center"/>
          </w:tcPr>
          <w:p w14:paraId="423AEBCE" w14:textId="7DEA5417" w:rsidR="00AB5DD7" w:rsidRPr="00AB5DD7" w:rsidRDefault="00122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北京建筑大学</w:t>
            </w:r>
          </w:p>
        </w:tc>
        <w:tc>
          <w:tcPr>
            <w:tcW w:w="1461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78" w:type="dxa"/>
            <w:gridSpan w:val="3"/>
            <w:vAlign w:val="center"/>
          </w:tcPr>
          <w:p w14:paraId="4D05CEEA" w14:textId="21A8E76D" w:rsidR="00AB5DD7" w:rsidRPr="00AB5DD7" w:rsidRDefault="00122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建筑学</w:t>
            </w:r>
          </w:p>
        </w:tc>
      </w:tr>
      <w:tr w:rsidR="00AB5DD7" w:rsidRPr="00AB5DD7" w14:paraId="6ED5862D" w14:textId="5AB179E1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12" w:type="dxa"/>
            <w:gridSpan w:val="3"/>
            <w:vAlign w:val="center"/>
          </w:tcPr>
          <w:p w14:paraId="3C5DA025" w14:textId="3F05E553" w:rsidR="00AB5DD7" w:rsidRPr="00AB5DD7" w:rsidRDefault="00122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阳光保险集团</w:t>
            </w:r>
          </w:p>
        </w:tc>
        <w:tc>
          <w:tcPr>
            <w:tcW w:w="1461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78" w:type="dxa"/>
            <w:gridSpan w:val="3"/>
            <w:vAlign w:val="center"/>
          </w:tcPr>
          <w:p w14:paraId="659D926A" w14:textId="7DC7D025" w:rsidR="00AB5DD7" w:rsidRPr="00AB5DD7" w:rsidRDefault="00E367C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养老不动产中心规划设计部部</w:t>
            </w:r>
            <w:r w:rsidR="00122212">
              <w:rPr>
                <w:rFonts w:ascii="宋体" w:eastAsia="宋体" w:hAnsi="宋体" w:hint="eastAsia"/>
                <w:sz w:val="24"/>
              </w:rPr>
              <w:t>长</w:t>
            </w:r>
          </w:p>
        </w:tc>
      </w:tr>
      <w:tr w:rsidR="00AB5DD7" w:rsidRPr="00AB5DD7" w14:paraId="326A982F" w14:textId="5ABB873D" w:rsidTr="006939FA">
        <w:trPr>
          <w:trHeight w:val="3948"/>
          <w:jc w:val="center"/>
        </w:trPr>
        <w:tc>
          <w:tcPr>
            <w:tcW w:w="2419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51" w:type="dxa"/>
            <w:gridSpan w:val="8"/>
            <w:vAlign w:val="center"/>
          </w:tcPr>
          <w:p w14:paraId="038879D5" w14:textId="77777777" w:rsidR="00AB5DD7" w:rsidRDefault="001222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003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2012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9F55F3">
              <w:rPr>
                <w:rFonts w:ascii="宋体" w:eastAsia="宋体" w:hAnsi="宋体" w:hint="eastAsia"/>
                <w:sz w:val="24"/>
              </w:rPr>
              <w:t>中国建筑设计研究院，</w:t>
            </w:r>
            <w:proofErr w:type="gramStart"/>
            <w:r w:rsidR="009F55F3">
              <w:rPr>
                <w:rFonts w:ascii="宋体" w:eastAsia="宋体" w:hAnsi="宋体" w:hint="eastAsia"/>
                <w:sz w:val="24"/>
              </w:rPr>
              <w:t>副设总</w:t>
            </w:r>
            <w:proofErr w:type="gramEnd"/>
          </w:p>
          <w:p w14:paraId="77CAD9D1" w14:textId="0B293F36" w:rsidR="009F55F3" w:rsidRDefault="009F55F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012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，万达商业地产集团，设计总监</w:t>
            </w:r>
          </w:p>
          <w:p w14:paraId="2CA082FF" w14:textId="77777777" w:rsidR="009F55F3" w:rsidRDefault="009F55F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018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2020</w:t>
            </w:r>
            <w:r>
              <w:rPr>
                <w:rFonts w:ascii="宋体" w:eastAsia="宋体" w:hAnsi="宋体" w:hint="eastAsia"/>
                <w:sz w:val="24"/>
              </w:rPr>
              <w:t>，复华文商集团，设计副总经理</w:t>
            </w:r>
          </w:p>
          <w:p w14:paraId="6740051A" w14:textId="27F8CB63" w:rsidR="009F55F3" w:rsidRPr="00AB5DD7" w:rsidRDefault="009F55F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-今，阳光保险集团</w:t>
            </w:r>
            <w:r w:rsidR="0037177F">
              <w:rPr>
                <w:rFonts w:ascii="宋体" w:eastAsia="宋体" w:hAnsi="宋体" w:hint="eastAsia"/>
                <w:sz w:val="24"/>
              </w:rPr>
              <w:t>不动产中心</w:t>
            </w:r>
            <w:r>
              <w:rPr>
                <w:rFonts w:ascii="宋体" w:eastAsia="宋体" w:hAnsi="宋体" w:hint="eastAsia"/>
                <w:sz w:val="24"/>
              </w:rPr>
              <w:t>，设计</w:t>
            </w:r>
            <w:r w:rsidR="00E367C3">
              <w:rPr>
                <w:rFonts w:ascii="宋体" w:eastAsia="宋体" w:hAnsi="宋体" w:hint="eastAsia"/>
                <w:sz w:val="24"/>
              </w:rPr>
              <w:t>部部</w:t>
            </w:r>
            <w:r>
              <w:rPr>
                <w:rFonts w:ascii="宋体" w:eastAsia="宋体" w:hAnsi="宋体" w:hint="eastAsia"/>
                <w:sz w:val="24"/>
              </w:rPr>
              <w:t>长</w:t>
            </w:r>
          </w:p>
        </w:tc>
      </w:tr>
      <w:tr w:rsidR="00AB5DD7" w:rsidRPr="00AB5DD7" w14:paraId="05BD71A1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09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2" w:type="dxa"/>
            <w:vAlign w:val="center"/>
          </w:tcPr>
          <w:p w14:paraId="3C35AA56" w14:textId="36E0512F" w:rsidR="00AB5DD7" w:rsidRPr="00AB5DD7" w:rsidRDefault="008E6E25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52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1" w:type="dxa"/>
            <w:gridSpan w:val="2"/>
            <w:vAlign w:val="center"/>
          </w:tcPr>
          <w:p w14:paraId="7E6FCD91" w14:textId="7389F000" w:rsidR="00AB5DD7" w:rsidRPr="00AB5DD7" w:rsidRDefault="008E6E25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16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1" w:type="dxa"/>
            <w:vAlign w:val="center"/>
          </w:tcPr>
          <w:p w14:paraId="618350BE" w14:textId="4CB116EB" w:rsidR="00AB5DD7" w:rsidRPr="00AB5DD7" w:rsidRDefault="008E6E25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 w:rsidR="00260370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</w:t>
            </w:r>
          </w:p>
        </w:tc>
      </w:tr>
      <w:tr w:rsidR="00AB5DD7" w:rsidRPr="00AB5DD7" w14:paraId="49FD89DC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51" w:type="dxa"/>
            <w:gridSpan w:val="8"/>
            <w:vAlign w:val="center"/>
          </w:tcPr>
          <w:p w14:paraId="1996D1DB" w14:textId="787B0CA9" w:rsidR="00AB5DD7" w:rsidRPr="00AB5DD7" w:rsidRDefault="008E6E2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房地产经济发展的趋势及调控措施</w:t>
            </w:r>
          </w:p>
        </w:tc>
      </w:tr>
      <w:tr w:rsidR="00AB5DD7" w:rsidRPr="00AB5DD7" w14:paraId="4B6E1E41" w14:textId="77777777" w:rsidTr="006939FA">
        <w:trPr>
          <w:trHeight w:val="680"/>
          <w:jc w:val="center"/>
        </w:trPr>
        <w:tc>
          <w:tcPr>
            <w:tcW w:w="2419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51" w:type="dxa"/>
            <w:gridSpan w:val="8"/>
            <w:vAlign w:val="center"/>
          </w:tcPr>
          <w:p w14:paraId="4832442C" w14:textId="625700BC" w:rsidR="00AB5DD7" w:rsidRPr="00AB5DD7" w:rsidRDefault="008E6E2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消费导刊、CN11-5052/Z</w:t>
            </w:r>
          </w:p>
        </w:tc>
      </w:tr>
      <w:tr w:rsidR="001D4ABC" w:rsidRPr="00AB5DD7" w14:paraId="7128894E" w14:textId="77777777" w:rsidTr="006939FA">
        <w:trPr>
          <w:trHeight w:val="3156"/>
          <w:jc w:val="center"/>
        </w:trPr>
        <w:tc>
          <w:tcPr>
            <w:tcW w:w="2419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51" w:type="dxa"/>
            <w:gridSpan w:val="8"/>
            <w:vAlign w:val="center"/>
          </w:tcPr>
          <w:p w14:paraId="7DBA5A56" w14:textId="09648BD0" w:rsidR="001D4ABC" w:rsidRDefault="007F44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随着我国经济的快速发展和人民生活水平的提升，我国房地产市场获得快速发展，进而推动着经济的发展。房地产经济的发展为我国经济的发展注入了强大的动力，经过多年的发展我国房地产经济规模进一步扩大，同时房价也日益高涨，部分城市的房价已经超过了普通老百姓的承受能力，因此快速发展房地产经济面临突出的问题，有效调控措施显得非常必要。论文首先概述了我国最近几年的房地产经济发展趋势，并且概述了房地产经济</w:t>
            </w:r>
            <w:r w:rsidR="00260370">
              <w:rPr>
                <w:rFonts w:ascii="宋体" w:eastAsia="宋体" w:hAnsi="宋体"/>
                <w:sz w:val="24"/>
              </w:rPr>
              <w:t>发展趋势的主要原因，这些原因包括：宏观调控制度不合理、土地政策不完善、税收调控制度不到位。最后提出加强房地产经济调控管理措施，要完善宏观调控制度、根据地方情况加强对土地政策管理、进一步健全税收调控制度，提高房地产经济实际管控水平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7151"/>
      </w:tblGrid>
      <w:tr w:rsidR="00AB5DD7" w:rsidRPr="00AB5DD7" w14:paraId="20AE2C3E" w14:textId="77777777" w:rsidTr="004766AB">
        <w:trPr>
          <w:trHeight w:val="1118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748C636C" w:rsidR="00AB5DD7" w:rsidRPr="00AB5DD7" w:rsidRDefault="00524E9E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企业经济学：政策端和需求端对养老地产企业开发的影响</w:t>
            </w:r>
          </w:p>
        </w:tc>
      </w:tr>
      <w:tr w:rsidR="00AB5DD7" w:rsidRPr="00AB5DD7" w14:paraId="1EF62B7C" w14:textId="77777777" w:rsidTr="004766AB">
        <w:trPr>
          <w:trHeight w:val="5952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7D227BCB" w14:textId="77777777" w:rsidR="000B45D0" w:rsidRDefault="004D6EA6" w:rsidP="0049274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</w:t>
            </w:r>
            <w:r w:rsidR="00C37BEB">
              <w:rPr>
                <w:rFonts w:ascii="宋体" w:eastAsia="宋体" w:hAnsi="宋体" w:hint="eastAsia"/>
                <w:sz w:val="24"/>
              </w:rPr>
              <w:t>人口</w:t>
            </w:r>
            <w:r>
              <w:rPr>
                <w:rFonts w:ascii="宋体" w:eastAsia="宋体" w:hAnsi="宋体" w:hint="eastAsia"/>
                <w:sz w:val="24"/>
              </w:rPr>
              <w:t>老龄化问题日益严重，探寻我国养老产业以及养老地产的发展已经成为一个亟需关切</w:t>
            </w:r>
            <w:r w:rsidR="00492740">
              <w:rPr>
                <w:rFonts w:ascii="宋体" w:eastAsia="宋体" w:hAnsi="宋体" w:hint="eastAsia"/>
                <w:sz w:val="24"/>
              </w:rPr>
              <w:t>的问题。</w:t>
            </w:r>
          </w:p>
          <w:p w14:paraId="2F818C22" w14:textId="1236E2D8" w:rsidR="000B45D0" w:rsidRDefault="000B45D0" w:rsidP="0049274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从消费端看，在我国人口老龄化加速的进程中，我国老年人口基数大、增量多，消费领域所占的市场份额也越来越大，因此养老产业市场潜力十分巨大。</w:t>
            </w:r>
          </w:p>
          <w:p w14:paraId="02A572FB" w14:textId="77777777" w:rsidR="00795A73" w:rsidRDefault="000B45D0" w:rsidP="00795A7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从投资端看，</w:t>
            </w:r>
            <w:r w:rsidR="00492740">
              <w:rPr>
                <w:rFonts w:ascii="宋体" w:eastAsia="宋体" w:hAnsi="宋体" w:hint="eastAsia"/>
                <w:sz w:val="24"/>
              </w:rPr>
              <w:t>目前在我国开发养老地产的企业主要有以下三类：房地产企业、保险企业及医疗企业。这三类企业</w:t>
            </w:r>
            <w:r>
              <w:rPr>
                <w:rFonts w:ascii="宋体" w:eastAsia="宋体" w:hAnsi="宋体" w:hint="eastAsia"/>
                <w:sz w:val="24"/>
              </w:rPr>
              <w:t>在开发养老项目中的优势各不相同</w:t>
            </w:r>
            <w:r w:rsidR="00492740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房地产企业善于前端的开发建设，保险企业</w:t>
            </w:r>
            <w:r w:rsidR="00795A73">
              <w:rPr>
                <w:rFonts w:ascii="宋体" w:eastAsia="宋体" w:hAnsi="宋体" w:hint="eastAsia"/>
                <w:sz w:val="24"/>
              </w:rPr>
              <w:t>拥有大量开发</w:t>
            </w:r>
            <w:r>
              <w:rPr>
                <w:rFonts w:ascii="宋体" w:eastAsia="宋体" w:hAnsi="宋体" w:hint="eastAsia"/>
                <w:sz w:val="24"/>
              </w:rPr>
              <w:t>资金，医疗企业</w:t>
            </w:r>
            <w:r w:rsidR="00795A73">
              <w:rPr>
                <w:rFonts w:ascii="宋体" w:eastAsia="宋体" w:hAnsi="宋体" w:hint="eastAsia"/>
                <w:sz w:val="24"/>
              </w:rPr>
              <w:t>优势在于后端的医疗</w:t>
            </w:r>
            <w:r>
              <w:rPr>
                <w:rFonts w:ascii="宋体" w:eastAsia="宋体" w:hAnsi="宋体" w:hint="eastAsia"/>
                <w:sz w:val="24"/>
              </w:rPr>
              <w:t>运营。</w:t>
            </w:r>
          </w:p>
          <w:p w14:paraId="348D3DF3" w14:textId="77777777" w:rsidR="00AB5DD7" w:rsidRDefault="00795A73" w:rsidP="00795A7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但目前在我国，与巨大的养老资源需求形成鲜明对比的是养老资源的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供给仍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存在较大的缺口，供需呈现严重的不平衡，养老地产仍处于初级阶段。</w:t>
            </w:r>
          </w:p>
          <w:p w14:paraId="390107E4" w14:textId="77777777" w:rsidR="00413B1A" w:rsidRDefault="00413B1A" w:rsidP="00413B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目前，商业养老地产开发对城市的选择主要受到三个方面的影响，养老生态环境因素、养老社会环境因素、养老经济环境因素。</w:t>
            </w:r>
          </w:p>
          <w:p w14:paraId="43BF5A40" w14:textId="24817F11" w:rsidR="00795A73" w:rsidRPr="00AB5DD7" w:rsidRDefault="00795A73" w:rsidP="00413B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</w:t>
            </w:r>
            <w:r w:rsidR="00AC3C29">
              <w:rPr>
                <w:rFonts w:ascii="宋体" w:eastAsia="宋体" w:hAnsi="宋体" w:hint="eastAsia"/>
                <w:sz w:val="24"/>
              </w:rPr>
              <w:t>以</w:t>
            </w:r>
            <w:r w:rsidR="00413B1A">
              <w:rPr>
                <w:rFonts w:ascii="宋体" w:eastAsia="宋体" w:hAnsi="宋体" w:hint="eastAsia"/>
                <w:sz w:val="24"/>
              </w:rPr>
              <w:t>养老社会环境因素中的人口老龄化率</w:t>
            </w:r>
            <w:r w:rsidR="00AC3C29">
              <w:rPr>
                <w:rFonts w:ascii="宋体" w:eastAsia="宋体" w:hAnsi="宋体" w:hint="eastAsia"/>
                <w:sz w:val="24"/>
              </w:rPr>
              <w:t>为切入点</w:t>
            </w:r>
            <w:r w:rsidR="00512B06">
              <w:rPr>
                <w:rFonts w:ascii="宋体" w:eastAsia="宋体" w:hAnsi="宋体" w:hint="eastAsia"/>
                <w:sz w:val="24"/>
              </w:rPr>
              <w:t>，来分析保险企业、房地产企业及医疗企业对养老项目的投</w:t>
            </w:r>
            <w:r w:rsidR="00AC3C29">
              <w:rPr>
                <w:rFonts w:ascii="宋体" w:eastAsia="宋体" w:hAnsi="宋体" w:hint="eastAsia"/>
                <w:sz w:val="24"/>
              </w:rPr>
              <w:t>资</w:t>
            </w:r>
            <w:r w:rsidR="00512B06">
              <w:rPr>
                <w:rFonts w:ascii="宋体" w:eastAsia="宋体" w:hAnsi="宋体" w:hint="eastAsia"/>
                <w:sz w:val="24"/>
              </w:rPr>
              <w:t>影响，并提出针对性地的政策建议，激励相关企业在养老产业上</w:t>
            </w:r>
            <w:r w:rsidR="004766AB">
              <w:rPr>
                <w:rFonts w:ascii="宋体" w:eastAsia="宋体" w:hAnsi="宋体" w:hint="eastAsia"/>
                <w:sz w:val="24"/>
              </w:rPr>
              <w:t>的</w:t>
            </w:r>
            <w:r w:rsidR="00512B06">
              <w:rPr>
                <w:rFonts w:ascii="宋体" w:eastAsia="宋体" w:hAnsi="宋体" w:hint="eastAsia"/>
                <w:sz w:val="24"/>
              </w:rPr>
              <w:t>投入，从而缓解</w:t>
            </w:r>
            <w:r w:rsidR="004766AB">
              <w:rPr>
                <w:rFonts w:ascii="宋体" w:eastAsia="宋体" w:hAnsi="宋体" w:hint="eastAsia"/>
                <w:sz w:val="24"/>
              </w:rPr>
              <w:t>我国养老资源的紧张局面，并能带动相关行业的发展。</w:t>
            </w:r>
          </w:p>
        </w:tc>
      </w:tr>
      <w:tr w:rsidR="00AB5DD7" w:rsidRPr="00AB5DD7" w14:paraId="73D8F8D0" w14:textId="77777777" w:rsidTr="004766AB">
        <w:trPr>
          <w:trHeight w:val="1241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33FC5BB8" w:rsidR="00AB5DD7" w:rsidRPr="00AB5DD7" w:rsidRDefault="00B91493" w:rsidP="00121B7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城市</w:t>
            </w:r>
            <w:r w:rsidR="005225E4">
              <w:rPr>
                <w:rFonts w:ascii="宋体" w:eastAsia="宋体" w:hAnsi="宋体" w:hint="eastAsia"/>
                <w:sz w:val="24"/>
              </w:rPr>
              <w:t>人口老龄化率</w:t>
            </w:r>
            <w:r w:rsidR="00121B7F" w:rsidRPr="00121B7F">
              <w:rPr>
                <w:rFonts w:ascii="宋体" w:eastAsia="宋体" w:hAnsi="宋体" w:hint="eastAsia"/>
                <w:sz w:val="24"/>
              </w:rPr>
              <w:t>对</w:t>
            </w:r>
            <w:r w:rsidR="00774D38">
              <w:rPr>
                <w:rFonts w:ascii="宋体" w:eastAsia="宋体" w:hAnsi="宋体" w:hint="eastAsia"/>
                <w:sz w:val="24"/>
              </w:rPr>
              <w:t>商业</w:t>
            </w:r>
            <w:r w:rsidR="005C180D">
              <w:rPr>
                <w:rFonts w:ascii="宋体" w:eastAsia="宋体" w:hAnsi="宋体" w:hint="eastAsia"/>
                <w:sz w:val="24"/>
              </w:rPr>
              <w:t>养老地产企业投资</w:t>
            </w:r>
            <w:r w:rsidR="00774D38">
              <w:rPr>
                <w:rFonts w:ascii="宋体" w:eastAsia="宋体" w:hAnsi="宋体" w:hint="eastAsia"/>
                <w:sz w:val="24"/>
              </w:rPr>
              <w:t>影响</w:t>
            </w:r>
            <w:r w:rsidR="00121B7F" w:rsidRPr="00121B7F">
              <w:rPr>
                <w:rFonts w:ascii="宋体" w:eastAsia="宋体" w:hAnsi="宋体" w:hint="eastAsia"/>
                <w:sz w:val="24"/>
              </w:rPr>
              <w:t>的实证</w:t>
            </w:r>
            <w:r w:rsidR="00F85C3E">
              <w:rPr>
                <w:rFonts w:ascii="宋体" w:eastAsia="宋体" w:hAnsi="宋体" w:hint="eastAsia"/>
                <w:sz w:val="24"/>
              </w:rPr>
              <w:t>分析</w:t>
            </w:r>
          </w:p>
        </w:tc>
      </w:tr>
      <w:tr w:rsidR="00AB5DD7" w:rsidRPr="00AB5DD7" w14:paraId="6C236ECD" w14:textId="77777777" w:rsidTr="004766AB">
        <w:trPr>
          <w:trHeight w:val="693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07CBBA82" w14:textId="2DBEC7E6" w:rsidR="00AB5DD7" w:rsidRDefault="00F85C3E" w:rsidP="00F85C3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85C3E">
              <w:rPr>
                <w:rFonts w:ascii="宋体" w:eastAsia="宋体" w:hAnsi="宋体" w:hint="eastAsia"/>
                <w:sz w:val="24"/>
              </w:rPr>
              <w:t>绪论</w:t>
            </w:r>
          </w:p>
          <w:p w14:paraId="1C340A69" w14:textId="0E09F87D" w:rsidR="00F85C3E" w:rsidRDefault="00F85C3E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1.1研究背景</w:t>
            </w:r>
          </w:p>
          <w:p w14:paraId="2F8E8098" w14:textId="356087B7" w:rsidR="00F85C3E" w:rsidRDefault="00F85C3E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1.2研究意义</w:t>
            </w:r>
          </w:p>
          <w:p w14:paraId="53433B11" w14:textId="74578584" w:rsidR="00F85C3E" w:rsidRDefault="00F85C3E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1.3研究思路和主要内容</w:t>
            </w:r>
          </w:p>
          <w:p w14:paraId="5CAA13FC" w14:textId="6EDABC19" w:rsidR="00F85C3E" w:rsidRPr="00F85C3E" w:rsidRDefault="00F85C3E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1.4研究方法</w:t>
            </w:r>
          </w:p>
          <w:p w14:paraId="27DBAAD5" w14:textId="271FE264" w:rsidR="00F85C3E" w:rsidRDefault="005C180D" w:rsidP="00F85C3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相关理论与</w:t>
            </w:r>
            <w:r w:rsidR="00F85C3E">
              <w:rPr>
                <w:rFonts w:ascii="宋体" w:eastAsia="宋体" w:hAnsi="宋体"/>
                <w:sz w:val="24"/>
              </w:rPr>
              <w:t>文献综述</w:t>
            </w:r>
          </w:p>
          <w:p w14:paraId="586F0E94" w14:textId="26F04FDB" w:rsidR="00F85C3E" w:rsidRDefault="00F85C3E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</w:t>
            </w:r>
            <w:r w:rsidR="00CA23C9">
              <w:rPr>
                <w:rFonts w:ascii="宋体" w:eastAsia="宋体" w:hAnsi="宋体"/>
                <w:sz w:val="24"/>
              </w:rPr>
              <w:t>商业养老地产</w:t>
            </w:r>
            <w:r w:rsidR="0051793F">
              <w:rPr>
                <w:rFonts w:ascii="宋体" w:eastAsia="宋体" w:hAnsi="宋体"/>
                <w:sz w:val="24"/>
              </w:rPr>
              <w:t>与其他养老形式的区别</w:t>
            </w:r>
          </w:p>
          <w:p w14:paraId="1C881FE1" w14:textId="1523C6F3" w:rsidR="00F677C4" w:rsidRDefault="00F677C4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 w:rsidR="00CA23C9">
              <w:rPr>
                <w:rFonts w:ascii="宋体" w:eastAsia="宋体" w:hAnsi="宋体" w:hint="eastAsia"/>
                <w:sz w:val="24"/>
              </w:rPr>
              <w:t>商业养老地产企业投资的影响因素</w:t>
            </w:r>
          </w:p>
          <w:p w14:paraId="4DA62080" w14:textId="1032455D" w:rsidR="00F677C4" w:rsidRDefault="00F677C4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</w:t>
            </w:r>
            <w:r w:rsidR="00CA23C9">
              <w:rPr>
                <w:rFonts w:ascii="宋体" w:eastAsia="宋体" w:hAnsi="宋体" w:hint="eastAsia"/>
                <w:sz w:val="24"/>
              </w:rPr>
              <w:t>城市人口老龄化率对商业养老地产企业投资的影响</w:t>
            </w:r>
          </w:p>
          <w:p w14:paraId="0E929E4A" w14:textId="0FA3BA34" w:rsidR="00F677C4" w:rsidRDefault="00F677C4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2.4不同</w:t>
            </w:r>
            <w:r w:rsidR="0051793F">
              <w:rPr>
                <w:rFonts w:ascii="宋体" w:eastAsia="宋体" w:hAnsi="宋体" w:hint="eastAsia"/>
                <w:sz w:val="24"/>
              </w:rPr>
              <w:t>性质的</w:t>
            </w:r>
            <w:r>
              <w:rPr>
                <w:rFonts w:ascii="宋体" w:eastAsia="宋体" w:hAnsi="宋体" w:hint="eastAsia"/>
                <w:sz w:val="24"/>
              </w:rPr>
              <w:t>企业对</w:t>
            </w:r>
            <w:r w:rsidR="00CA23C9">
              <w:rPr>
                <w:rFonts w:ascii="宋体" w:eastAsia="宋体" w:hAnsi="宋体" w:hint="eastAsia"/>
                <w:sz w:val="24"/>
              </w:rPr>
              <w:t>商业</w:t>
            </w:r>
            <w:r>
              <w:rPr>
                <w:rFonts w:ascii="宋体" w:eastAsia="宋体" w:hAnsi="宋体" w:hint="eastAsia"/>
                <w:sz w:val="24"/>
              </w:rPr>
              <w:t>养老地产投</w:t>
            </w:r>
            <w:r w:rsidR="00CA23C9">
              <w:rPr>
                <w:rFonts w:ascii="宋体" w:eastAsia="宋体" w:hAnsi="宋体" w:hint="eastAsia"/>
                <w:sz w:val="24"/>
              </w:rPr>
              <w:t>资</w:t>
            </w:r>
            <w:r>
              <w:rPr>
                <w:rFonts w:ascii="宋体" w:eastAsia="宋体" w:hAnsi="宋体" w:hint="eastAsia"/>
                <w:sz w:val="24"/>
              </w:rPr>
              <w:t>的倾向</w:t>
            </w:r>
          </w:p>
          <w:p w14:paraId="341AA455" w14:textId="77777777" w:rsidR="00F85C3E" w:rsidRDefault="00F85C3E" w:rsidP="00F85C3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理论分析与研究假设</w:t>
            </w:r>
          </w:p>
          <w:p w14:paraId="2DBF041E" w14:textId="53C068E7" w:rsidR="00F677C4" w:rsidRDefault="00F677C4" w:rsidP="00F677C4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</w:t>
            </w:r>
            <w:r w:rsidR="00715230">
              <w:rPr>
                <w:rFonts w:ascii="宋体" w:eastAsia="宋体" w:hAnsi="宋体" w:hint="eastAsia"/>
                <w:sz w:val="24"/>
              </w:rPr>
              <w:t>相关概念</w:t>
            </w:r>
          </w:p>
          <w:p w14:paraId="1C01DDC2" w14:textId="387E34A4" w:rsidR="00F677C4" w:rsidRDefault="00F677C4" w:rsidP="00F677C4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</w:t>
            </w:r>
            <w:r w:rsidR="00715230">
              <w:rPr>
                <w:rFonts w:ascii="宋体" w:eastAsia="宋体" w:hAnsi="宋体" w:hint="eastAsia"/>
                <w:sz w:val="24"/>
              </w:rPr>
              <w:t>理论基础</w:t>
            </w:r>
          </w:p>
          <w:p w14:paraId="1B500B69" w14:textId="7041AC3F" w:rsidR="00F677C4" w:rsidRDefault="00F677C4" w:rsidP="00F677C4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3.3</w:t>
            </w:r>
            <w:r w:rsidR="00715230">
              <w:rPr>
                <w:rFonts w:ascii="宋体" w:eastAsia="宋体" w:hAnsi="宋体" w:hint="eastAsia"/>
                <w:sz w:val="24"/>
              </w:rPr>
              <w:t>研究假设提出</w:t>
            </w:r>
          </w:p>
          <w:p w14:paraId="1C6FE437" w14:textId="54D79D30" w:rsidR="00F85C3E" w:rsidRDefault="004B43A2" w:rsidP="00F85C3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城市人口老龄化率</w:t>
            </w:r>
            <w:r w:rsidRPr="00121B7F">
              <w:rPr>
                <w:rFonts w:ascii="宋体" w:eastAsia="宋体" w:hAnsi="宋体" w:hint="eastAsia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商业养老地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产企业投资影响分析</w:t>
            </w:r>
          </w:p>
          <w:p w14:paraId="413DD16D" w14:textId="7D0BD809" w:rsidR="00524E9E" w:rsidRDefault="00524E9E" w:rsidP="00524E9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4.1样本选取与样本特征</w:t>
            </w:r>
          </w:p>
          <w:p w14:paraId="4A6BBFDD" w14:textId="564A57CA" w:rsidR="00524E9E" w:rsidRDefault="00524E9E" w:rsidP="00524E9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4.2标量的定义与测量</w:t>
            </w:r>
          </w:p>
          <w:p w14:paraId="7D16BB6B" w14:textId="16AC17EF" w:rsidR="00524E9E" w:rsidRDefault="00524E9E" w:rsidP="00524E9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</w:t>
            </w:r>
            <w:r w:rsidR="004B43A2">
              <w:rPr>
                <w:rFonts w:ascii="宋体" w:eastAsia="宋体" w:hAnsi="宋体" w:hint="eastAsia"/>
                <w:sz w:val="24"/>
              </w:rPr>
              <w:t>设计研究及</w:t>
            </w:r>
            <w:r>
              <w:rPr>
                <w:rFonts w:ascii="宋体" w:eastAsia="宋体" w:hAnsi="宋体" w:hint="eastAsia"/>
                <w:sz w:val="24"/>
              </w:rPr>
              <w:t>模型构建</w:t>
            </w:r>
          </w:p>
          <w:p w14:paraId="71AEBAA4" w14:textId="6EB63026" w:rsidR="00F85C3E" w:rsidRDefault="004B43A2" w:rsidP="004B43A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4.4</w:t>
            </w:r>
            <w:r w:rsidR="00F85C3E">
              <w:rPr>
                <w:rFonts w:ascii="宋体" w:eastAsia="宋体" w:hAnsi="宋体" w:hint="eastAsia"/>
                <w:sz w:val="24"/>
              </w:rPr>
              <w:t>实证分析与假设检验</w:t>
            </w:r>
          </w:p>
          <w:p w14:paraId="59DEEFDB" w14:textId="77777777" w:rsidR="00F85C3E" w:rsidRDefault="00F85C3E" w:rsidP="00F85C3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研究总结</w:t>
            </w:r>
          </w:p>
          <w:p w14:paraId="3A1E2F9E" w14:textId="346907A0" w:rsidR="00F85C3E" w:rsidRDefault="004B43A2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F85C3E">
              <w:rPr>
                <w:rFonts w:ascii="宋体" w:eastAsia="宋体" w:hAnsi="宋体" w:hint="eastAsia"/>
                <w:sz w:val="24"/>
              </w:rPr>
              <w:t>.1研究结论</w:t>
            </w:r>
          </w:p>
          <w:p w14:paraId="7211AC78" w14:textId="57C28432" w:rsidR="00F85C3E" w:rsidRDefault="004B43A2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F85C3E">
              <w:rPr>
                <w:rFonts w:ascii="宋体" w:eastAsia="宋体" w:hAnsi="宋体" w:hint="eastAsia"/>
                <w:sz w:val="24"/>
              </w:rPr>
              <w:t>.2政策建议</w:t>
            </w:r>
          </w:p>
          <w:p w14:paraId="2DBDF9C3" w14:textId="775DC0A2" w:rsidR="00F85C3E" w:rsidRPr="00F85C3E" w:rsidRDefault="004B43A2" w:rsidP="00F85C3E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F85C3E">
              <w:rPr>
                <w:rFonts w:ascii="宋体" w:eastAsia="宋体" w:hAnsi="宋体" w:hint="eastAsia"/>
                <w:sz w:val="24"/>
              </w:rPr>
              <w:t>.3研究不足与展望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3B7EBE59" w14:textId="77777777" w:rsidR="00AB5DD7" w:rsidRDefault="004766A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国家统计局年鉴</w:t>
            </w:r>
          </w:p>
          <w:p w14:paraId="3DCCD07D" w14:textId="77777777" w:rsidR="004766AB" w:rsidRDefault="004766A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766A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克而瑞养老地产专题研究</w:t>
            </w:r>
          </w:p>
          <w:p w14:paraId="6FC97F13" w14:textId="029191D3" w:rsidR="004766AB" w:rsidRPr="00C7513B" w:rsidRDefault="004766A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李寓，养老地产需求影响因素</w:t>
            </w:r>
            <w:r w:rsidR="00C751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研究—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基于X保险公司数据的实证分析，</w:t>
            </w:r>
            <w:r w:rsidR="00C751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浙江大学，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</w:t>
            </w:r>
          </w:p>
          <w:p w14:paraId="5C1CEEAF" w14:textId="77777777" w:rsidR="004766AB" w:rsidRDefault="00C7513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郭旭，</w:t>
            </w:r>
            <w:r w:rsidRPr="00C751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保险公司投资养老地产策略研究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，东北财经大学，2013</w:t>
            </w:r>
          </w:p>
          <w:p w14:paraId="6EFAA971" w14:textId="6B4BAC7B" w:rsidR="00C7513B" w:rsidRDefault="00C7513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闫晓慧，</w:t>
            </w:r>
            <w:r w:rsidRPr="00C751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中国养老产业现状、发展趋势与投资机会研究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，厦门大学，2008</w:t>
            </w:r>
          </w:p>
          <w:p w14:paraId="046941AF" w14:textId="77777777" w:rsidR="00C7513B" w:rsidRDefault="00C7513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白雯娟，我国寿险资金投资结构分析，海南金融，2014</w:t>
            </w:r>
          </w:p>
          <w:p w14:paraId="64AF037D" w14:textId="77777777" w:rsidR="00C7513B" w:rsidRDefault="00C7513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刘彤，我国养老模式探析，经济研究导刊，2012</w:t>
            </w:r>
          </w:p>
          <w:p w14:paraId="3FE13CC7" w14:textId="77777777" w:rsidR="00C7513B" w:rsidRDefault="00C7513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李洪心，国内外养老模式研究，经济与管理，2012</w:t>
            </w:r>
          </w:p>
          <w:p w14:paraId="361667A6" w14:textId="77777777" w:rsidR="00C7513B" w:rsidRDefault="00C7513B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江生忠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，我国养老地产商业模式研究，现代管理科学</w:t>
            </w:r>
            <w:r w:rsidR="00433E4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，2014</w:t>
            </w:r>
          </w:p>
          <w:p w14:paraId="7BC3A1E1" w14:textId="77777777" w:rsidR="00433E4D" w:rsidRDefault="00433E4D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周申龙，中国养老地产项目运营研究，华东师范大学，2013</w:t>
            </w:r>
          </w:p>
          <w:p w14:paraId="4E4D4152" w14:textId="2F5B0010" w:rsidR="00433E4D" w:rsidRPr="00433E4D" w:rsidRDefault="00433E4D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王懿，一线城市养老地产市场需求强劲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 w:rsidR="001C3791" w:rsidRPr="001C3791">
        <w:rPr>
          <w:rFonts w:ascii="宋体" w:eastAsia="宋体" w:hAnsi="宋体"/>
          <w:b/>
          <w:bCs/>
          <w:color w:val="FF0000"/>
        </w:rPr>
        <w:t>一</w:t>
      </w:r>
      <w:proofErr w:type="gramEnd"/>
      <w:r w:rsidR="001C3791" w:rsidRPr="001C3791">
        <w:rPr>
          <w:rFonts w:ascii="宋体" w:eastAsia="宋体" w:hAnsi="宋体"/>
          <w:b/>
          <w:bCs/>
          <w:color w:val="FF0000"/>
        </w:rPr>
        <w:t>分配指导老师。</w:t>
      </w:r>
    </w:p>
    <w:p w14:paraId="2B18AB10" w14:textId="7696012D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205A9" w14:textId="77777777" w:rsidR="00FA39C8" w:rsidRDefault="00FA39C8" w:rsidP="008E6E25">
      <w:r>
        <w:separator/>
      </w:r>
    </w:p>
  </w:endnote>
  <w:endnote w:type="continuationSeparator" w:id="0">
    <w:p w14:paraId="26BC4636" w14:textId="77777777" w:rsidR="00FA39C8" w:rsidRDefault="00FA39C8" w:rsidP="008E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F51A2" w14:textId="77777777" w:rsidR="00FA39C8" w:rsidRDefault="00FA39C8" w:rsidP="008E6E25">
      <w:r>
        <w:separator/>
      </w:r>
    </w:p>
  </w:footnote>
  <w:footnote w:type="continuationSeparator" w:id="0">
    <w:p w14:paraId="40EB3E17" w14:textId="77777777" w:rsidR="00FA39C8" w:rsidRDefault="00FA39C8" w:rsidP="008E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992"/>
    <w:multiLevelType w:val="hybridMultilevel"/>
    <w:tmpl w:val="97DA2606"/>
    <w:lvl w:ilvl="0" w:tplc="4252AAA2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B45D0"/>
    <w:rsid w:val="000D616E"/>
    <w:rsid w:val="001024A3"/>
    <w:rsid w:val="00111AC2"/>
    <w:rsid w:val="00121B7F"/>
    <w:rsid w:val="00122212"/>
    <w:rsid w:val="001C3791"/>
    <w:rsid w:val="001D4ABC"/>
    <w:rsid w:val="001E44F6"/>
    <w:rsid w:val="001F2172"/>
    <w:rsid w:val="00260370"/>
    <w:rsid w:val="00280EF3"/>
    <w:rsid w:val="0037177F"/>
    <w:rsid w:val="003C213C"/>
    <w:rsid w:val="00413B1A"/>
    <w:rsid w:val="00433E4D"/>
    <w:rsid w:val="00451D4A"/>
    <w:rsid w:val="004766AB"/>
    <w:rsid w:val="00492740"/>
    <w:rsid w:val="004B43A2"/>
    <w:rsid w:val="004D6EA6"/>
    <w:rsid w:val="00512B06"/>
    <w:rsid w:val="0051793F"/>
    <w:rsid w:val="005225E4"/>
    <w:rsid w:val="00524E9E"/>
    <w:rsid w:val="00556D05"/>
    <w:rsid w:val="005C180D"/>
    <w:rsid w:val="006939FA"/>
    <w:rsid w:val="006C05E6"/>
    <w:rsid w:val="00715230"/>
    <w:rsid w:val="00761113"/>
    <w:rsid w:val="00774D38"/>
    <w:rsid w:val="00795A73"/>
    <w:rsid w:val="007F44FB"/>
    <w:rsid w:val="00807310"/>
    <w:rsid w:val="008E34C4"/>
    <w:rsid w:val="008E6E25"/>
    <w:rsid w:val="009D0666"/>
    <w:rsid w:val="009F55F3"/>
    <w:rsid w:val="00AB5DD7"/>
    <w:rsid w:val="00AC3C29"/>
    <w:rsid w:val="00B91493"/>
    <w:rsid w:val="00C37BEB"/>
    <w:rsid w:val="00C7513B"/>
    <w:rsid w:val="00CA23C9"/>
    <w:rsid w:val="00E367C3"/>
    <w:rsid w:val="00E964D9"/>
    <w:rsid w:val="00F677C4"/>
    <w:rsid w:val="00F85C3E"/>
    <w:rsid w:val="00FA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E25"/>
    <w:rPr>
      <w:sz w:val="18"/>
      <w:szCs w:val="18"/>
    </w:rPr>
  </w:style>
  <w:style w:type="paragraph" w:styleId="a5">
    <w:name w:val="List Paragraph"/>
    <w:basedOn w:val="a"/>
    <w:uiPriority w:val="34"/>
    <w:qFormat/>
    <w:rsid w:val="00F85C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E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E25"/>
    <w:rPr>
      <w:sz w:val="18"/>
      <w:szCs w:val="18"/>
    </w:rPr>
  </w:style>
  <w:style w:type="paragraph" w:styleId="a5">
    <w:name w:val="List Paragraph"/>
    <w:basedOn w:val="a"/>
    <w:uiPriority w:val="34"/>
    <w:qFormat/>
    <w:rsid w:val="00F85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朱迪</cp:lastModifiedBy>
  <cp:revision>2</cp:revision>
  <dcterms:created xsi:type="dcterms:W3CDTF">2021-06-16T14:49:00Z</dcterms:created>
  <dcterms:modified xsi:type="dcterms:W3CDTF">2021-06-16T14:49:00Z</dcterms:modified>
</cp:coreProperties>
</file>