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75DF1D" w14:textId="6BFE9D9B" w:rsidR="00AB5DD7" w:rsidRPr="00AB5DD7" w:rsidRDefault="00AB5DD7" w:rsidP="00AB5DD7">
      <w:pPr>
        <w:jc w:val="center"/>
        <w:rPr>
          <w:rFonts w:ascii="宋体" w:eastAsia="宋体" w:hAnsi="宋体"/>
          <w:b/>
          <w:sz w:val="36"/>
          <w:szCs w:val="36"/>
        </w:rPr>
      </w:pPr>
      <w:r w:rsidRPr="00AB5DD7">
        <w:rPr>
          <w:rFonts w:ascii="宋体" w:eastAsia="宋体" w:hAnsi="宋体" w:hint="eastAsia"/>
          <w:b/>
          <w:sz w:val="36"/>
          <w:szCs w:val="36"/>
        </w:rPr>
        <w:t>经济学院同等学力申请硕士学位论文写作信息采集表</w:t>
      </w:r>
    </w:p>
    <w:p w14:paraId="11FD28F0" w14:textId="77777777" w:rsidR="00AB5DD7" w:rsidRPr="00AB5DD7" w:rsidRDefault="00AB5DD7" w:rsidP="00AB5DD7">
      <w:pPr>
        <w:jc w:val="center"/>
        <w:rPr>
          <w:rFonts w:ascii="宋体" w:eastAsia="宋体" w:hAnsi="宋体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1"/>
        <w:gridCol w:w="1083"/>
        <w:gridCol w:w="1086"/>
        <w:gridCol w:w="577"/>
        <w:gridCol w:w="841"/>
        <w:gridCol w:w="586"/>
        <w:gridCol w:w="548"/>
        <w:gridCol w:w="992"/>
        <w:gridCol w:w="1270"/>
      </w:tblGrid>
      <w:tr w:rsidR="00AB5DD7" w:rsidRPr="00AB5DD7" w14:paraId="2CE97C69" w14:textId="77777777" w:rsidTr="001D4ABC">
        <w:trPr>
          <w:trHeight w:val="680"/>
          <w:jc w:val="center"/>
        </w:trPr>
        <w:tc>
          <w:tcPr>
            <w:tcW w:w="2361" w:type="dxa"/>
            <w:vAlign w:val="center"/>
          </w:tcPr>
          <w:p w14:paraId="38184B04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资格卡号</w:t>
            </w:r>
          </w:p>
        </w:tc>
        <w:tc>
          <w:tcPr>
            <w:tcW w:w="2746" w:type="dxa"/>
            <w:gridSpan w:val="3"/>
            <w:vAlign w:val="center"/>
          </w:tcPr>
          <w:p w14:paraId="1702AB67" w14:textId="01628B21" w:rsidR="00AB5DD7" w:rsidRPr="00AB5DD7" w:rsidRDefault="0029355C" w:rsidP="007F219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71041118</w:t>
            </w:r>
          </w:p>
        </w:tc>
        <w:tc>
          <w:tcPr>
            <w:tcW w:w="1427" w:type="dxa"/>
            <w:gridSpan w:val="2"/>
            <w:vAlign w:val="center"/>
          </w:tcPr>
          <w:p w14:paraId="5C7644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姓    名</w:t>
            </w:r>
          </w:p>
        </w:tc>
        <w:tc>
          <w:tcPr>
            <w:tcW w:w="2810" w:type="dxa"/>
            <w:gridSpan w:val="3"/>
            <w:vAlign w:val="center"/>
          </w:tcPr>
          <w:p w14:paraId="403ADAD2" w14:textId="6A826B87" w:rsidR="00AB5DD7" w:rsidRPr="00AB5DD7" w:rsidRDefault="00925819" w:rsidP="007F219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徐凯辉</w:t>
            </w:r>
          </w:p>
        </w:tc>
      </w:tr>
      <w:tr w:rsidR="00AB5DD7" w:rsidRPr="00AB5DD7" w14:paraId="7CDC9830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456A4FC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所在地区</w:t>
            </w:r>
          </w:p>
        </w:tc>
        <w:tc>
          <w:tcPr>
            <w:tcW w:w="2745" w:type="dxa"/>
            <w:gridSpan w:val="3"/>
            <w:vAlign w:val="center"/>
          </w:tcPr>
          <w:p w14:paraId="5B040D0B" w14:textId="580EF7BA" w:rsidR="00AB5DD7" w:rsidRPr="00AB5DD7" w:rsidRDefault="00925819" w:rsidP="007F219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北京</w:t>
            </w:r>
          </w:p>
        </w:tc>
        <w:tc>
          <w:tcPr>
            <w:tcW w:w="1427" w:type="dxa"/>
            <w:gridSpan w:val="2"/>
            <w:vAlign w:val="center"/>
          </w:tcPr>
          <w:p w14:paraId="4575535C" w14:textId="4DE6083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申硕专业</w:t>
            </w:r>
          </w:p>
        </w:tc>
        <w:tc>
          <w:tcPr>
            <w:tcW w:w="2810" w:type="dxa"/>
            <w:gridSpan w:val="3"/>
            <w:vAlign w:val="center"/>
          </w:tcPr>
          <w:p w14:paraId="410BCDA2" w14:textId="7B28F6EE" w:rsidR="00AB5DD7" w:rsidRPr="00AB5DD7" w:rsidRDefault="00925819" w:rsidP="007F2193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企业经济学</w:t>
            </w:r>
          </w:p>
        </w:tc>
      </w:tr>
      <w:tr w:rsidR="00AB5DD7" w:rsidRPr="00AB5DD7" w14:paraId="7FA4B012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2086028" w14:textId="15DE3D1E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联系电话</w:t>
            </w:r>
          </w:p>
        </w:tc>
        <w:tc>
          <w:tcPr>
            <w:tcW w:w="2745" w:type="dxa"/>
            <w:gridSpan w:val="3"/>
            <w:vAlign w:val="center"/>
          </w:tcPr>
          <w:p w14:paraId="765DC541" w14:textId="2EE9CA5C" w:rsidR="00AB5DD7" w:rsidRPr="00AB5DD7" w:rsidRDefault="0092581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18510956656</w:t>
            </w:r>
          </w:p>
        </w:tc>
        <w:tc>
          <w:tcPr>
            <w:tcW w:w="1427" w:type="dxa"/>
            <w:gridSpan w:val="2"/>
            <w:vAlign w:val="center"/>
          </w:tcPr>
          <w:p w14:paraId="06654FF2" w14:textId="09DB61F9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电子邮箱</w:t>
            </w:r>
          </w:p>
        </w:tc>
        <w:tc>
          <w:tcPr>
            <w:tcW w:w="2810" w:type="dxa"/>
            <w:gridSpan w:val="3"/>
            <w:vAlign w:val="center"/>
          </w:tcPr>
          <w:p w14:paraId="77B897CE" w14:textId="52BDCDBD" w:rsidR="00AB5DD7" w:rsidRPr="00AB5DD7" w:rsidRDefault="00BC3390" w:rsidP="00AB5DD7">
            <w:pPr>
              <w:rPr>
                <w:rFonts w:ascii="宋体" w:eastAsia="宋体" w:hAnsi="宋体"/>
                <w:sz w:val="24"/>
              </w:rPr>
            </w:pPr>
            <w:hyperlink r:id="rId6" w:history="1">
              <w:r w:rsidR="00925819" w:rsidRPr="00B04D87">
                <w:rPr>
                  <w:rStyle w:val="a3"/>
                  <w:rFonts w:ascii="宋体" w:eastAsia="宋体" w:hAnsi="宋体"/>
                  <w:sz w:val="24"/>
                </w:rPr>
                <w:t>summerxkh@126.com</w:t>
              </w:r>
            </w:hyperlink>
          </w:p>
        </w:tc>
      </w:tr>
      <w:tr w:rsidR="00AB5DD7" w:rsidRPr="00AB5DD7" w14:paraId="72DFC7BD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FFB2EAF" w14:textId="404A38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本科毕业院校</w:t>
            </w:r>
          </w:p>
        </w:tc>
        <w:tc>
          <w:tcPr>
            <w:tcW w:w="2745" w:type="dxa"/>
            <w:gridSpan w:val="3"/>
            <w:vAlign w:val="center"/>
          </w:tcPr>
          <w:p w14:paraId="423AEBCE" w14:textId="7AD41BBB" w:rsidR="00AB5DD7" w:rsidRPr="00AB5DD7" w:rsidRDefault="0092581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海南省琼州学院</w:t>
            </w:r>
          </w:p>
        </w:tc>
        <w:tc>
          <w:tcPr>
            <w:tcW w:w="1427" w:type="dxa"/>
            <w:gridSpan w:val="2"/>
            <w:vAlign w:val="center"/>
          </w:tcPr>
          <w:p w14:paraId="69751DD1" w14:textId="7A5991A0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本科专业</w:t>
            </w:r>
          </w:p>
        </w:tc>
        <w:tc>
          <w:tcPr>
            <w:tcW w:w="2810" w:type="dxa"/>
            <w:gridSpan w:val="3"/>
            <w:vAlign w:val="center"/>
          </w:tcPr>
          <w:p w14:paraId="4D05CEEA" w14:textId="317F7E8E" w:rsidR="00AB5DD7" w:rsidRPr="00AB5DD7" w:rsidRDefault="0092581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生物科学</w:t>
            </w:r>
          </w:p>
        </w:tc>
      </w:tr>
      <w:tr w:rsidR="00AB5DD7" w:rsidRPr="00AB5DD7" w14:paraId="6ED5862D" w14:textId="5AB179E1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50DFFF9A" w14:textId="4C859935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工作单位</w:t>
            </w:r>
          </w:p>
        </w:tc>
        <w:tc>
          <w:tcPr>
            <w:tcW w:w="2745" w:type="dxa"/>
            <w:gridSpan w:val="3"/>
            <w:vAlign w:val="center"/>
          </w:tcPr>
          <w:p w14:paraId="3C5DA025" w14:textId="0F22290F" w:rsidR="00AB5DD7" w:rsidRPr="00AB5DD7" w:rsidRDefault="0092581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长江养老保险股份有限公司</w:t>
            </w:r>
          </w:p>
        </w:tc>
        <w:tc>
          <w:tcPr>
            <w:tcW w:w="1427" w:type="dxa"/>
            <w:gridSpan w:val="2"/>
            <w:vAlign w:val="center"/>
          </w:tcPr>
          <w:p w14:paraId="44F82741" w14:textId="3DEA6DD2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 xml:space="preserve">职 </w:t>
            </w:r>
            <w:r w:rsidRPr="00AB5DD7">
              <w:rPr>
                <w:rFonts w:ascii="宋体" w:eastAsia="宋体" w:hAnsi="宋体"/>
                <w:sz w:val="24"/>
              </w:rPr>
              <w:t xml:space="preserve"> </w:t>
            </w:r>
            <w:r w:rsidRPr="00AB5DD7">
              <w:rPr>
                <w:rFonts w:ascii="宋体" w:eastAsia="宋体" w:hAnsi="宋体" w:hint="eastAsia"/>
                <w:sz w:val="24"/>
              </w:rPr>
              <w:t>务</w:t>
            </w:r>
          </w:p>
        </w:tc>
        <w:tc>
          <w:tcPr>
            <w:tcW w:w="2810" w:type="dxa"/>
            <w:gridSpan w:val="3"/>
            <w:vAlign w:val="center"/>
          </w:tcPr>
          <w:p w14:paraId="659D926A" w14:textId="548BC8B3" w:rsidR="00AB5DD7" w:rsidRPr="00AB5DD7" w:rsidRDefault="00925819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/>
                <w:sz w:val="24"/>
              </w:rPr>
              <w:t>AVP</w:t>
            </w:r>
          </w:p>
        </w:tc>
      </w:tr>
      <w:tr w:rsidR="00AB5DD7" w:rsidRPr="00AB5DD7" w14:paraId="326A982F" w14:textId="5ABB873D" w:rsidTr="001D4ABC">
        <w:trPr>
          <w:trHeight w:val="3948"/>
          <w:jc w:val="center"/>
        </w:trPr>
        <w:tc>
          <w:tcPr>
            <w:tcW w:w="2362" w:type="dxa"/>
            <w:vAlign w:val="center"/>
          </w:tcPr>
          <w:p w14:paraId="37DB7F92" w14:textId="77777777" w:rsidR="009D0666" w:rsidRDefault="009D0666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个人简介和</w:t>
            </w:r>
          </w:p>
          <w:p w14:paraId="10896B48" w14:textId="0B7F909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工作经历</w:t>
            </w:r>
          </w:p>
        </w:tc>
        <w:tc>
          <w:tcPr>
            <w:tcW w:w="6982" w:type="dxa"/>
            <w:gridSpan w:val="8"/>
            <w:vAlign w:val="center"/>
          </w:tcPr>
          <w:p w14:paraId="551E1BBA" w14:textId="77777777" w:rsidR="00973A72" w:rsidRDefault="00973A72" w:rsidP="00973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个人简介：</w:t>
            </w:r>
          </w:p>
          <w:p w14:paraId="0CF06B32" w14:textId="71689B63" w:rsidR="00973A72" w:rsidRDefault="00973A72" w:rsidP="00973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1987年07月出生于山东省莱州市；</w:t>
            </w:r>
          </w:p>
          <w:p w14:paraId="6F32F3A5" w14:textId="164D0EA5" w:rsidR="00973A72" w:rsidRDefault="00973A72" w:rsidP="00973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2006年09月考入海南省琼州学院生物科学专业，2010年07月本科毕业并获得理学学士学位；</w:t>
            </w:r>
          </w:p>
          <w:p w14:paraId="6B55CB5C" w14:textId="41E74383" w:rsidR="00973A72" w:rsidRDefault="00973A72" w:rsidP="00973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2016年12月报考中国人民大学经济学院攻读经济学硕士至今。</w:t>
            </w:r>
          </w:p>
          <w:p w14:paraId="6015DAF9" w14:textId="1CBF5FB1" w:rsidR="00973A72" w:rsidRDefault="00973A72" w:rsidP="00973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工作经历：</w:t>
            </w:r>
          </w:p>
          <w:p w14:paraId="1361E331" w14:textId="4767DD1B" w:rsidR="00973A72" w:rsidRDefault="00973A72" w:rsidP="00973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201008 </w:t>
            </w:r>
            <w:r>
              <w:rPr>
                <w:rFonts w:ascii="宋体" w:eastAsia="宋体" w:hAnsi="宋体"/>
                <w:sz w:val="24"/>
              </w:rPr>
              <w:t xml:space="preserve">– </w:t>
            </w:r>
            <w:r>
              <w:rPr>
                <w:rFonts w:ascii="宋体" w:eastAsia="宋体" w:hAnsi="宋体" w:hint="eastAsia"/>
                <w:sz w:val="24"/>
              </w:rPr>
              <w:t>201011：任职于</w:t>
            </w:r>
            <w:r w:rsidRPr="00973A72">
              <w:rPr>
                <w:rFonts w:ascii="宋体" w:eastAsia="宋体" w:hAnsi="宋体" w:hint="eastAsia"/>
                <w:sz w:val="24"/>
              </w:rPr>
              <w:t>山东省烟台理工学校</w:t>
            </w:r>
            <w:r>
              <w:rPr>
                <w:rFonts w:ascii="宋体" w:eastAsia="宋体" w:hAnsi="宋体" w:hint="eastAsia"/>
                <w:sz w:val="24"/>
              </w:rPr>
              <w:t>；</w:t>
            </w:r>
          </w:p>
          <w:p w14:paraId="74C6DA4C" w14:textId="3EBE3DE2" w:rsidR="00973A72" w:rsidRDefault="00973A72" w:rsidP="00973A72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201011 </w:t>
            </w:r>
            <w:r>
              <w:rPr>
                <w:rFonts w:ascii="宋体" w:eastAsia="宋体" w:hAnsi="宋体"/>
                <w:sz w:val="24"/>
              </w:rPr>
              <w:t xml:space="preserve">– </w:t>
            </w:r>
            <w:r>
              <w:rPr>
                <w:rFonts w:ascii="宋体" w:eastAsia="宋体" w:hAnsi="宋体" w:hint="eastAsia"/>
                <w:sz w:val="24"/>
              </w:rPr>
              <w:t>201508：任职于平安养老保险股份有限公司</w:t>
            </w:r>
            <w:r w:rsidR="00C4091D">
              <w:rPr>
                <w:rFonts w:ascii="宋体" w:eastAsia="宋体" w:hAnsi="宋体" w:hint="eastAsia"/>
                <w:sz w:val="24"/>
              </w:rPr>
              <w:t>；</w:t>
            </w:r>
          </w:p>
          <w:p w14:paraId="6740051A" w14:textId="71F8D2D2" w:rsidR="00AB5DD7" w:rsidRPr="00C4091D" w:rsidRDefault="00C4091D" w:rsidP="00C4091D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201508</w:t>
            </w:r>
            <w:r>
              <w:rPr>
                <w:rFonts w:ascii="宋体" w:eastAsia="宋体" w:hAnsi="宋体"/>
                <w:sz w:val="24"/>
              </w:rPr>
              <w:t xml:space="preserve"> –   </w:t>
            </w:r>
            <w:r>
              <w:rPr>
                <w:rFonts w:ascii="宋体" w:eastAsia="宋体" w:hAnsi="宋体" w:hint="eastAsia"/>
                <w:sz w:val="24"/>
              </w:rPr>
              <w:t>至今：任职于长江养老保险股份有限公司。</w:t>
            </w:r>
          </w:p>
        </w:tc>
      </w:tr>
      <w:tr w:rsidR="00AB5DD7" w:rsidRPr="00AB5DD7" w14:paraId="05BD71A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6F0D23AD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科研成果</w:t>
            </w:r>
          </w:p>
        </w:tc>
        <w:tc>
          <w:tcPr>
            <w:tcW w:w="1083" w:type="dxa"/>
            <w:vAlign w:val="center"/>
          </w:tcPr>
          <w:p w14:paraId="1D5C80F2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661E8733" w14:textId="07387E93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</w:tc>
        <w:tc>
          <w:tcPr>
            <w:tcW w:w="1086" w:type="dxa"/>
            <w:vAlign w:val="center"/>
          </w:tcPr>
          <w:p w14:paraId="3C35AA56" w14:textId="12D755CE" w:rsidR="00AB5DD7" w:rsidRPr="00AB5DD7" w:rsidRDefault="0022062E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1418" w:type="dxa"/>
            <w:gridSpan w:val="2"/>
            <w:vAlign w:val="center"/>
          </w:tcPr>
          <w:p w14:paraId="1BF87733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是否</w:t>
            </w:r>
          </w:p>
          <w:p w14:paraId="71D473EA" w14:textId="00CB8D4D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第一作者</w:t>
            </w:r>
          </w:p>
        </w:tc>
        <w:tc>
          <w:tcPr>
            <w:tcW w:w="1134" w:type="dxa"/>
            <w:gridSpan w:val="2"/>
            <w:vAlign w:val="center"/>
          </w:tcPr>
          <w:p w14:paraId="7E6FCD91" w14:textId="5CF4712E" w:rsidR="00AB5DD7" w:rsidRPr="00AB5DD7" w:rsidRDefault="0022062E" w:rsidP="001C3791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是</w:t>
            </w:r>
          </w:p>
        </w:tc>
        <w:tc>
          <w:tcPr>
            <w:tcW w:w="992" w:type="dxa"/>
            <w:vAlign w:val="center"/>
          </w:tcPr>
          <w:p w14:paraId="28E9A294" w14:textId="77777777" w:rsid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</w:t>
            </w:r>
          </w:p>
          <w:p w14:paraId="222E33BB" w14:textId="2601AA29" w:rsidR="00AB5DD7" w:rsidRPr="00AB5DD7" w:rsidRDefault="00AB5DD7" w:rsidP="001C3791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字数</w:t>
            </w:r>
          </w:p>
        </w:tc>
        <w:tc>
          <w:tcPr>
            <w:tcW w:w="1269" w:type="dxa"/>
            <w:vAlign w:val="center"/>
          </w:tcPr>
          <w:p w14:paraId="618350BE" w14:textId="5A57FAD6" w:rsidR="00AB5DD7" w:rsidRPr="00AB5DD7" w:rsidRDefault="00842F91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5351</w:t>
            </w:r>
          </w:p>
        </w:tc>
      </w:tr>
      <w:tr w:rsidR="00AB5DD7" w:rsidRPr="00AB5DD7" w14:paraId="49FD89DC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4FBCD07B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发表文章题目</w:t>
            </w:r>
          </w:p>
        </w:tc>
        <w:tc>
          <w:tcPr>
            <w:tcW w:w="6982" w:type="dxa"/>
            <w:gridSpan w:val="8"/>
            <w:vAlign w:val="center"/>
          </w:tcPr>
          <w:p w14:paraId="1996D1DB" w14:textId="233BA066" w:rsidR="00AB5DD7" w:rsidRPr="00AB5DD7" w:rsidRDefault="007F219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《养老地产融资创新模式研究》</w:t>
            </w:r>
          </w:p>
        </w:tc>
      </w:tr>
      <w:tr w:rsidR="00AB5DD7" w:rsidRPr="00AB5DD7" w14:paraId="4B6E1E41" w14:textId="77777777" w:rsidTr="001C3791">
        <w:trPr>
          <w:trHeight w:val="680"/>
          <w:jc w:val="center"/>
        </w:trPr>
        <w:tc>
          <w:tcPr>
            <w:tcW w:w="2362" w:type="dxa"/>
            <w:vAlign w:val="center"/>
          </w:tcPr>
          <w:p w14:paraId="1E9EABD1" w14:textId="7777777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发表文章刊物</w:t>
            </w:r>
          </w:p>
        </w:tc>
        <w:tc>
          <w:tcPr>
            <w:tcW w:w="6982" w:type="dxa"/>
            <w:gridSpan w:val="8"/>
            <w:vAlign w:val="center"/>
          </w:tcPr>
          <w:p w14:paraId="4832442C" w14:textId="44FC97A2" w:rsidR="00AB5DD7" w:rsidRPr="00AB5DD7" w:rsidRDefault="007F2193" w:rsidP="00AB5DD7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《理财周刊》（2021年1月第1期） </w:t>
            </w:r>
          </w:p>
        </w:tc>
      </w:tr>
      <w:tr w:rsidR="001D4ABC" w:rsidRPr="00AB5DD7" w14:paraId="7128894E" w14:textId="77777777" w:rsidTr="001D4ABC">
        <w:trPr>
          <w:trHeight w:val="3156"/>
          <w:jc w:val="center"/>
        </w:trPr>
        <w:tc>
          <w:tcPr>
            <w:tcW w:w="2362" w:type="dxa"/>
            <w:vAlign w:val="center"/>
          </w:tcPr>
          <w:p w14:paraId="60CB9906" w14:textId="5DD43682" w:rsidR="001D4ABC" w:rsidRPr="00AB5DD7" w:rsidRDefault="001D4ABC" w:rsidP="00AB5DD7">
            <w:pPr>
              <w:jc w:val="center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发表文章内容简介</w:t>
            </w:r>
          </w:p>
        </w:tc>
        <w:tc>
          <w:tcPr>
            <w:tcW w:w="6982" w:type="dxa"/>
            <w:gridSpan w:val="8"/>
            <w:vAlign w:val="center"/>
          </w:tcPr>
          <w:p w14:paraId="7DBA5A56" w14:textId="11371236" w:rsidR="001D4ABC" w:rsidRPr="007F2193" w:rsidRDefault="007F2193" w:rsidP="007F2193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养老地产前期投入大，资金回流较慢，很多传统融资模式并不能满足企业的融资需求，对此融资模式的创新可以帮助养老地产企业顺利开展项目，并实现长远运营。本文从银行贷款、信托基金、住房反向抵押、PPP模式，四个方面对养老地产融资模式的创新策略进行探讨。</w:t>
            </w:r>
          </w:p>
        </w:tc>
      </w:tr>
    </w:tbl>
    <w:p w14:paraId="622C2541" w14:textId="77777777" w:rsidR="001D4ABC" w:rsidRDefault="001D4ABC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62"/>
        <w:gridCol w:w="6982"/>
      </w:tblGrid>
      <w:tr w:rsidR="00AB5DD7" w:rsidRPr="00AB5DD7" w14:paraId="20AE2C3E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2473BF56" w14:textId="77777777" w:rsid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拟定学位论文</w:t>
            </w:r>
          </w:p>
          <w:p w14:paraId="5A8B8E63" w14:textId="0CA1562D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写作方向</w:t>
            </w:r>
          </w:p>
        </w:tc>
        <w:tc>
          <w:tcPr>
            <w:tcW w:w="6982" w:type="dxa"/>
            <w:vAlign w:val="center"/>
          </w:tcPr>
          <w:p w14:paraId="36E23F96" w14:textId="5E2CE6A7" w:rsidR="00925819" w:rsidRPr="00AB5DD7" w:rsidRDefault="00BE4714" w:rsidP="005F09AA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随着人口老龄化问题的日趋严重，目前我国的养老金发展主要细分为三支柱，本文重点就第二支柱</w:t>
            </w:r>
            <w:r w:rsidR="00572115">
              <w:rPr>
                <w:rFonts w:ascii="宋体" w:eastAsia="宋体" w:hAnsi="宋体" w:hint="eastAsia"/>
                <w:sz w:val="24"/>
              </w:rPr>
              <w:t>企业</w:t>
            </w:r>
            <w:r w:rsidR="00925819">
              <w:rPr>
                <w:rFonts w:ascii="宋体" w:eastAsia="宋体" w:hAnsi="宋体" w:hint="eastAsia"/>
                <w:sz w:val="24"/>
              </w:rPr>
              <w:t>年金</w:t>
            </w:r>
            <w:r w:rsidR="005F09AA">
              <w:rPr>
                <w:rFonts w:ascii="宋体" w:eastAsia="宋体" w:hAnsi="宋体" w:hint="eastAsia"/>
                <w:sz w:val="24"/>
              </w:rPr>
              <w:t>投资政策调整</w:t>
            </w:r>
            <w:r w:rsidR="00925819">
              <w:rPr>
                <w:rFonts w:ascii="宋体" w:eastAsia="宋体" w:hAnsi="宋体" w:hint="eastAsia"/>
                <w:sz w:val="24"/>
              </w:rPr>
              <w:t>发展</w:t>
            </w:r>
            <w:r w:rsidR="005F09AA">
              <w:rPr>
                <w:rFonts w:ascii="宋体" w:eastAsia="宋体" w:hAnsi="宋体" w:hint="eastAsia"/>
                <w:sz w:val="24"/>
              </w:rPr>
              <w:t>对年金市场</w:t>
            </w:r>
            <w:r w:rsidR="00B81C56">
              <w:rPr>
                <w:rFonts w:ascii="宋体" w:eastAsia="宋体" w:hAnsi="宋体" w:hint="eastAsia"/>
                <w:sz w:val="24"/>
              </w:rPr>
              <w:t>收益率</w:t>
            </w:r>
            <w:r w:rsidR="005F09AA">
              <w:rPr>
                <w:rFonts w:ascii="宋体" w:eastAsia="宋体" w:hAnsi="宋体" w:hint="eastAsia"/>
                <w:sz w:val="24"/>
              </w:rPr>
              <w:t>的影响进行</w:t>
            </w:r>
            <w:r>
              <w:rPr>
                <w:rFonts w:ascii="宋体" w:eastAsia="宋体" w:hAnsi="宋体" w:hint="eastAsia"/>
                <w:sz w:val="24"/>
              </w:rPr>
              <w:t>研究分析</w:t>
            </w:r>
            <w:r w:rsidR="00B81C56">
              <w:rPr>
                <w:rFonts w:ascii="宋体" w:eastAsia="宋体" w:hAnsi="宋体" w:hint="eastAsia"/>
                <w:sz w:val="24"/>
              </w:rPr>
              <w:t>。</w:t>
            </w:r>
          </w:p>
        </w:tc>
      </w:tr>
      <w:tr w:rsidR="00AB5DD7" w:rsidRPr="00AB5DD7" w14:paraId="1EF62B7C" w14:textId="77777777" w:rsidTr="00B81C56">
        <w:trPr>
          <w:trHeight w:val="4137"/>
          <w:jc w:val="center"/>
        </w:trPr>
        <w:tc>
          <w:tcPr>
            <w:tcW w:w="2362" w:type="dxa"/>
            <w:vAlign w:val="center"/>
          </w:tcPr>
          <w:p w14:paraId="54E41CB1" w14:textId="7672E457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拟定学位论文选题背景意义内容摘要</w:t>
            </w:r>
          </w:p>
        </w:tc>
        <w:tc>
          <w:tcPr>
            <w:tcW w:w="6982" w:type="dxa"/>
            <w:vAlign w:val="center"/>
          </w:tcPr>
          <w:p w14:paraId="43BF5A40" w14:textId="340FCB04" w:rsidR="00925819" w:rsidRPr="00AB5DD7" w:rsidRDefault="005F09AA" w:rsidP="00B81C56">
            <w:pPr>
              <w:ind w:firstLineChars="200" w:firstLine="480"/>
              <w:rPr>
                <w:rFonts w:ascii="宋体" w:eastAsia="宋体" w:hAnsi="宋体"/>
                <w:sz w:val="24"/>
              </w:rPr>
            </w:pPr>
            <w:r w:rsidRPr="00B81C56">
              <w:rPr>
                <w:rFonts w:ascii="宋体" w:eastAsia="宋体" w:hAnsi="宋体"/>
                <w:sz w:val="24"/>
              </w:rPr>
              <w:t>人口老龄化挑战是人类需要共同面对的全球性问题,建立多层次养老保障体系成为全球应对人口老龄化挑战的普遍做法。习近平总书记在党的十九大报告中指出,要在幼有所育、学有所教、劳有所得、病有所医、老有所养、住有所居、弱有所扶上不断取得新进展。目前,我国基本形成了三支柱的养老保障制度体系,但是三支柱发展严重失衡,其中第一支柱占据主导地位,第二支柱覆盖面小且发展滞缓,第三支柱严重缺位。第二支柱企业年金是重要的退休生活经济来源补充,企业年金资产长期投资运营实现保值增值,对于保证人民退休生活水平和幸福感至关重要。本文从投资政策调整发展角度,分析第二支柱企业年金的投资政策对于年金投资管理情况及</w:t>
            </w:r>
            <w:r w:rsidR="00B81C56">
              <w:rPr>
                <w:rFonts w:ascii="宋体" w:eastAsia="宋体" w:hAnsi="宋体" w:hint="eastAsia"/>
                <w:sz w:val="24"/>
              </w:rPr>
              <w:t>收益率</w:t>
            </w:r>
            <w:r w:rsidRPr="00B81C56">
              <w:rPr>
                <w:rFonts w:ascii="宋体" w:eastAsia="宋体" w:hAnsi="宋体" w:hint="eastAsia"/>
                <w:sz w:val="24"/>
              </w:rPr>
              <w:t>的影响</w:t>
            </w:r>
            <w:r w:rsidRPr="00B81C56">
              <w:rPr>
                <w:rFonts w:ascii="宋体" w:eastAsia="宋体" w:hAnsi="宋体"/>
                <w:sz w:val="24"/>
              </w:rPr>
              <w:t>进行</w:t>
            </w:r>
            <w:r w:rsidRPr="00B81C56">
              <w:rPr>
                <w:rFonts w:ascii="宋体" w:eastAsia="宋体" w:hAnsi="宋体" w:hint="eastAsia"/>
                <w:sz w:val="24"/>
              </w:rPr>
              <w:t>探究分析，</w:t>
            </w:r>
            <w:r w:rsidRPr="00B81C56">
              <w:rPr>
                <w:rFonts w:ascii="宋体" w:eastAsia="宋体" w:hAnsi="宋体"/>
                <w:sz w:val="24"/>
              </w:rPr>
              <w:t>并进行建模研究,结合理论分析和实证分析结果对企业年金</w:t>
            </w:r>
            <w:r w:rsidR="00B81C56" w:rsidRPr="00B81C56">
              <w:rPr>
                <w:rFonts w:ascii="宋体" w:eastAsia="宋体" w:hAnsi="宋体"/>
                <w:sz w:val="24"/>
              </w:rPr>
              <w:t>管理</w:t>
            </w:r>
            <w:r w:rsidR="00B81C56" w:rsidRPr="00B81C56">
              <w:rPr>
                <w:rFonts w:ascii="宋体" w:eastAsia="宋体" w:hAnsi="宋体" w:hint="eastAsia"/>
                <w:sz w:val="24"/>
              </w:rPr>
              <w:t>发展提出</w:t>
            </w:r>
            <w:r w:rsidRPr="00B81C56">
              <w:rPr>
                <w:rFonts w:ascii="宋体" w:eastAsia="宋体" w:hAnsi="宋体"/>
                <w:sz w:val="24"/>
              </w:rPr>
              <w:t>对策建议。</w:t>
            </w:r>
          </w:p>
        </w:tc>
      </w:tr>
      <w:tr w:rsidR="00AB5DD7" w:rsidRPr="000F3478" w14:paraId="73D8F8D0" w14:textId="77777777" w:rsidTr="00807310">
        <w:trPr>
          <w:trHeight w:val="680"/>
          <w:jc w:val="center"/>
        </w:trPr>
        <w:tc>
          <w:tcPr>
            <w:tcW w:w="2362" w:type="dxa"/>
            <w:vAlign w:val="center"/>
          </w:tcPr>
          <w:p w14:paraId="7A05B95B" w14:textId="30AEC8F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拟定学位论文题目</w:t>
            </w:r>
          </w:p>
        </w:tc>
        <w:tc>
          <w:tcPr>
            <w:tcW w:w="6982" w:type="dxa"/>
            <w:vAlign w:val="center"/>
          </w:tcPr>
          <w:p w14:paraId="48A4C2FB" w14:textId="29C5A491" w:rsidR="00AB5DD7" w:rsidRPr="00AB5DD7" w:rsidRDefault="005F09AA" w:rsidP="00A65830">
            <w:pPr>
              <w:rPr>
                <w:rFonts w:ascii="宋体" w:eastAsia="宋体" w:hAnsi="宋体"/>
                <w:sz w:val="24"/>
              </w:rPr>
            </w:pPr>
            <w:r w:rsidRPr="005F09AA">
              <w:rPr>
                <w:rFonts w:ascii="宋体" w:eastAsia="宋体" w:hAnsi="宋体" w:hint="eastAsia"/>
                <w:sz w:val="24"/>
              </w:rPr>
              <w:t>年金投资范围</w:t>
            </w:r>
            <w:r>
              <w:rPr>
                <w:rFonts w:ascii="宋体" w:eastAsia="宋体" w:hAnsi="宋体" w:hint="eastAsia"/>
                <w:sz w:val="24"/>
              </w:rPr>
              <w:t>调整</w:t>
            </w:r>
            <w:r w:rsidR="00572115">
              <w:rPr>
                <w:rFonts w:ascii="宋体" w:eastAsia="宋体" w:hAnsi="宋体" w:hint="eastAsia"/>
                <w:sz w:val="24"/>
              </w:rPr>
              <w:t>对企业年金</w:t>
            </w:r>
            <w:r w:rsidR="00B81C56">
              <w:rPr>
                <w:rFonts w:ascii="宋体" w:eastAsia="宋体" w:hAnsi="宋体" w:hint="eastAsia"/>
                <w:sz w:val="24"/>
              </w:rPr>
              <w:t>收益</w:t>
            </w:r>
            <w:r w:rsidR="00572115">
              <w:rPr>
                <w:rFonts w:ascii="宋体" w:eastAsia="宋体" w:hAnsi="宋体" w:hint="eastAsia"/>
                <w:sz w:val="24"/>
              </w:rPr>
              <w:t>的</w:t>
            </w:r>
            <w:r w:rsidR="00A65830">
              <w:rPr>
                <w:rFonts w:ascii="宋体" w:eastAsia="宋体" w:hAnsi="宋体" w:hint="eastAsia"/>
                <w:sz w:val="24"/>
              </w:rPr>
              <w:t>实证</w:t>
            </w:r>
            <w:r>
              <w:rPr>
                <w:rFonts w:ascii="宋体" w:eastAsia="宋体" w:hAnsi="宋体" w:hint="eastAsia"/>
                <w:sz w:val="24"/>
              </w:rPr>
              <w:t>探析</w:t>
            </w:r>
          </w:p>
        </w:tc>
      </w:tr>
      <w:tr w:rsidR="00AB5DD7" w:rsidRPr="00AB5DD7" w14:paraId="6C236ECD" w14:textId="77777777" w:rsidTr="000D616E">
        <w:trPr>
          <w:trHeight w:val="6386"/>
          <w:jc w:val="center"/>
        </w:trPr>
        <w:tc>
          <w:tcPr>
            <w:tcW w:w="2362" w:type="dxa"/>
            <w:vAlign w:val="center"/>
          </w:tcPr>
          <w:p w14:paraId="3CF568B0" w14:textId="3C6103E6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t>拟定学位论文提纲</w:t>
            </w:r>
          </w:p>
        </w:tc>
        <w:tc>
          <w:tcPr>
            <w:tcW w:w="6982" w:type="dxa"/>
            <w:vAlign w:val="center"/>
          </w:tcPr>
          <w:p w14:paraId="1F759238" w14:textId="421C18F3" w:rsidR="00AB5DD7" w:rsidRDefault="00AB5DD7" w:rsidP="00807310">
            <w:pPr>
              <w:rPr>
                <w:rFonts w:ascii="宋体" w:eastAsia="宋体" w:hAnsi="宋体"/>
                <w:sz w:val="24"/>
              </w:rPr>
            </w:pPr>
          </w:p>
          <w:p w14:paraId="709822E4" w14:textId="2DECE790" w:rsidR="0022062E" w:rsidRPr="0022062E" w:rsidRDefault="0022062E" w:rsidP="0022062E">
            <w:pPr>
              <w:rPr>
                <w:rFonts w:ascii="宋体" w:eastAsia="宋体" w:hAnsi="宋体"/>
                <w:sz w:val="24"/>
              </w:rPr>
            </w:pPr>
            <w:r w:rsidRPr="0022062E">
              <w:rPr>
                <w:rFonts w:ascii="宋体" w:eastAsia="宋体" w:hAnsi="宋体" w:hint="eastAsia"/>
                <w:sz w:val="24"/>
              </w:rPr>
              <w:t>第</w:t>
            </w:r>
            <w:r w:rsidRPr="0022062E">
              <w:rPr>
                <w:rFonts w:ascii="宋体" w:eastAsia="宋体" w:hAnsi="宋体"/>
                <w:sz w:val="24"/>
              </w:rPr>
              <w:t>1章 绪论</w:t>
            </w:r>
            <w:r w:rsidRPr="0022062E">
              <w:rPr>
                <w:rFonts w:ascii="宋体" w:eastAsia="宋体" w:hAnsi="宋体"/>
                <w:sz w:val="24"/>
              </w:rPr>
              <w:tab/>
            </w:r>
          </w:p>
          <w:p w14:paraId="177F6C4F" w14:textId="747C5C25" w:rsidR="0022062E" w:rsidRPr="0022062E" w:rsidRDefault="0022062E" w:rsidP="0022062E">
            <w:pPr>
              <w:rPr>
                <w:rFonts w:ascii="宋体" w:eastAsia="宋体" w:hAnsi="宋体"/>
                <w:sz w:val="24"/>
              </w:rPr>
            </w:pPr>
            <w:r w:rsidRPr="0022062E">
              <w:rPr>
                <w:rFonts w:ascii="宋体" w:eastAsia="宋体" w:hAnsi="宋体"/>
                <w:sz w:val="24"/>
              </w:rPr>
              <w:t>1.1 研究背景</w:t>
            </w:r>
            <w:r w:rsidRPr="0022062E">
              <w:rPr>
                <w:rFonts w:ascii="宋体" w:eastAsia="宋体" w:hAnsi="宋体"/>
                <w:sz w:val="24"/>
              </w:rPr>
              <w:tab/>
            </w:r>
          </w:p>
          <w:p w14:paraId="0E6ACBDF" w14:textId="61E7F9AA" w:rsidR="0022062E" w:rsidRPr="0022062E" w:rsidRDefault="0022062E" w:rsidP="0022062E">
            <w:pPr>
              <w:rPr>
                <w:rFonts w:ascii="宋体" w:eastAsia="宋体" w:hAnsi="宋体"/>
                <w:sz w:val="24"/>
              </w:rPr>
            </w:pPr>
            <w:r w:rsidRPr="0022062E">
              <w:rPr>
                <w:rFonts w:ascii="宋体" w:eastAsia="宋体" w:hAnsi="宋体"/>
                <w:sz w:val="24"/>
              </w:rPr>
              <w:t>1.2 研究意义</w:t>
            </w:r>
            <w:r w:rsidRPr="0022062E">
              <w:rPr>
                <w:rFonts w:ascii="宋体" w:eastAsia="宋体" w:hAnsi="宋体"/>
                <w:sz w:val="24"/>
              </w:rPr>
              <w:tab/>
            </w:r>
          </w:p>
          <w:p w14:paraId="76D511E3" w14:textId="07C64315" w:rsidR="0022062E" w:rsidRPr="0022062E" w:rsidRDefault="0022062E" w:rsidP="0022062E">
            <w:pPr>
              <w:rPr>
                <w:rFonts w:ascii="宋体" w:eastAsia="宋体" w:hAnsi="宋体"/>
                <w:sz w:val="24"/>
              </w:rPr>
            </w:pPr>
            <w:r w:rsidRPr="0022062E">
              <w:rPr>
                <w:rFonts w:ascii="宋体" w:eastAsia="宋体" w:hAnsi="宋体"/>
                <w:sz w:val="24"/>
              </w:rPr>
              <w:t>1.3 研究思路和主要内容</w:t>
            </w:r>
            <w:r w:rsidRPr="0022062E">
              <w:rPr>
                <w:rFonts w:ascii="宋体" w:eastAsia="宋体" w:hAnsi="宋体"/>
                <w:sz w:val="24"/>
              </w:rPr>
              <w:tab/>
            </w:r>
          </w:p>
          <w:p w14:paraId="30D1DE40" w14:textId="65661157" w:rsidR="0022062E" w:rsidRPr="0022062E" w:rsidRDefault="0022062E" w:rsidP="0022062E">
            <w:pPr>
              <w:rPr>
                <w:rFonts w:ascii="宋体" w:eastAsia="宋体" w:hAnsi="宋体"/>
                <w:sz w:val="24"/>
              </w:rPr>
            </w:pPr>
            <w:r w:rsidRPr="0022062E">
              <w:rPr>
                <w:rFonts w:ascii="宋体" w:eastAsia="宋体" w:hAnsi="宋体"/>
                <w:sz w:val="24"/>
              </w:rPr>
              <w:t>1.4 研究方法</w:t>
            </w:r>
            <w:r w:rsidRPr="0022062E">
              <w:rPr>
                <w:rFonts w:ascii="宋体" w:eastAsia="宋体" w:hAnsi="宋体"/>
                <w:sz w:val="24"/>
              </w:rPr>
              <w:tab/>
            </w:r>
          </w:p>
          <w:p w14:paraId="54A23C3B" w14:textId="17B4262D" w:rsidR="0022062E" w:rsidRDefault="0022062E" w:rsidP="0022062E">
            <w:pPr>
              <w:rPr>
                <w:rFonts w:ascii="宋体" w:eastAsia="宋体" w:hAnsi="宋体"/>
                <w:sz w:val="24"/>
              </w:rPr>
            </w:pPr>
            <w:r w:rsidRPr="0022062E">
              <w:rPr>
                <w:rFonts w:ascii="宋体" w:eastAsia="宋体" w:hAnsi="宋体"/>
                <w:sz w:val="24"/>
              </w:rPr>
              <w:t>1.5 本文创新点</w:t>
            </w:r>
            <w:r w:rsidRPr="0022062E">
              <w:rPr>
                <w:rFonts w:ascii="宋体" w:eastAsia="宋体" w:hAnsi="宋体"/>
                <w:sz w:val="24"/>
              </w:rPr>
              <w:tab/>
            </w:r>
          </w:p>
          <w:p w14:paraId="63696154" w14:textId="185308D0" w:rsidR="0022062E" w:rsidRDefault="00374EAA" w:rsidP="00374EA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第2章 </w:t>
            </w:r>
            <w:r w:rsidR="0022062E">
              <w:rPr>
                <w:rFonts w:ascii="宋体" w:eastAsia="宋体" w:hAnsi="宋体" w:hint="eastAsia"/>
                <w:sz w:val="24"/>
              </w:rPr>
              <w:t>文献综述</w:t>
            </w:r>
          </w:p>
          <w:p w14:paraId="77713E44" w14:textId="7307D802" w:rsidR="0022062E" w:rsidRDefault="0022062E" w:rsidP="00374EA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2.1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="00B81C56">
              <w:rPr>
                <w:rFonts w:ascii="宋体" w:eastAsia="宋体" w:hAnsi="宋体" w:hint="eastAsia"/>
                <w:sz w:val="24"/>
              </w:rPr>
              <w:t>国内文献综述</w:t>
            </w:r>
          </w:p>
          <w:p w14:paraId="05EAB0CC" w14:textId="711EFE2E" w:rsidR="0022062E" w:rsidRDefault="00B81C56" w:rsidP="00374EA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2.2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国外文献综述</w:t>
            </w:r>
          </w:p>
          <w:p w14:paraId="20E96500" w14:textId="16E30EA4" w:rsidR="0020550F" w:rsidRDefault="0020550F" w:rsidP="00374EAA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第3章 </w:t>
            </w:r>
            <w:bookmarkStart w:id="0" w:name="_GoBack"/>
            <w:bookmarkEnd w:id="0"/>
            <w:r>
              <w:rPr>
                <w:rFonts w:ascii="宋体" w:eastAsia="宋体" w:hAnsi="宋体" w:hint="eastAsia"/>
                <w:sz w:val="24"/>
              </w:rPr>
              <w:t>年金基金投资政策探究及理论分析</w:t>
            </w:r>
          </w:p>
          <w:p w14:paraId="204DDF9F" w14:textId="25CC07D1" w:rsidR="0008614C" w:rsidRDefault="0020550F" w:rsidP="0008614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 w:rsidR="0008614C">
              <w:rPr>
                <w:rFonts w:ascii="宋体" w:eastAsia="宋体" w:hAnsi="宋体" w:hint="eastAsia"/>
                <w:sz w:val="24"/>
              </w:rPr>
              <w:t>.1</w:t>
            </w:r>
            <w:r w:rsidR="0008614C">
              <w:rPr>
                <w:rFonts w:ascii="宋体" w:eastAsia="宋体" w:hAnsi="宋体"/>
                <w:sz w:val="24"/>
              </w:rPr>
              <w:t xml:space="preserve"> </w:t>
            </w:r>
            <w:r w:rsidR="0008614C">
              <w:rPr>
                <w:rFonts w:ascii="宋体" w:eastAsia="宋体" w:hAnsi="宋体" w:hint="eastAsia"/>
                <w:sz w:val="24"/>
              </w:rPr>
              <w:t>年金基金</w:t>
            </w:r>
            <w:r>
              <w:rPr>
                <w:rFonts w:ascii="宋体" w:eastAsia="宋体" w:hAnsi="宋体" w:hint="eastAsia"/>
                <w:sz w:val="24"/>
              </w:rPr>
              <w:t>投资</w:t>
            </w:r>
            <w:r w:rsidR="0008614C">
              <w:rPr>
                <w:rFonts w:ascii="宋体" w:eastAsia="宋体" w:hAnsi="宋体" w:hint="eastAsia"/>
                <w:sz w:val="24"/>
              </w:rPr>
              <w:t>政策介绍</w:t>
            </w:r>
          </w:p>
          <w:p w14:paraId="6F97E21E" w14:textId="2670E2F2" w:rsidR="0008614C" w:rsidRDefault="0020550F" w:rsidP="0008614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</w:t>
            </w:r>
            <w:r w:rsidR="0008614C">
              <w:rPr>
                <w:rFonts w:ascii="宋体" w:eastAsia="宋体" w:hAnsi="宋体" w:hint="eastAsia"/>
                <w:sz w:val="24"/>
              </w:rPr>
              <w:t>.2</w:t>
            </w:r>
            <w:r w:rsidR="0008614C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年金基金投资</w:t>
            </w:r>
            <w:r w:rsidR="0008614C">
              <w:rPr>
                <w:rFonts w:ascii="宋体" w:eastAsia="宋体" w:hAnsi="宋体" w:hint="eastAsia"/>
                <w:sz w:val="24"/>
              </w:rPr>
              <w:t>政策</w:t>
            </w:r>
            <w:r w:rsidR="009528F2">
              <w:rPr>
                <w:rFonts w:ascii="宋体" w:eastAsia="宋体" w:hAnsi="宋体" w:hint="eastAsia"/>
                <w:sz w:val="24"/>
              </w:rPr>
              <w:t>理论分析</w:t>
            </w:r>
          </w:p>
          <w:p w14:paraId="5A1CE1AA" w14:textId="0B409971" w:rsidR="0020550F" w:rsidRDefault="0020550F" w:rsidP="0020550F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3.</w:t>
            </w:r>
            <w:r w:rsidR="0008614C">
              <w:rPr>
                <w:rFonts w:ascii="宋体" w:eastAsia="宋体" w:hAnsi="宋体" w:hint="eastAsia"/>
                <w:sz w:val="24"/>
              </w:rPr>
              <w:t>3</w:t>
            </w:r>
            <w:r w:rsidR="0008614C"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理论分析与假设</w:t>
            </w:r>
          </w:p>
          <w:p w14:paraId="674495DB" w14:textId="3E44D350" w:rsidR="006E5F81" w:rsidRDefault="009528F2" w:rsidP="0008614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 xml:space="preserve">第4章 </w:t>
            </w:r>
            <w:r w:rsidR="00A65830">
              <w:rPr>
                <w:rFonts w:ascii="宋体" w:eastAsia="宋体" w:hAnsi="宋体" w:hint="eastAsia"/>
                <w:sz w:val="24"/>
              </w:rPr>
              <w:t>影响</w:t>
            </w:r>
            <w:r>
              <w:rPr>
                <w:rFonts w:ascii="宋体" w:eastAsia="宋体" w:hAnsi="宋体" w:hint="eastAsia"/>
                <w:sz w:val="24"/>
              </w:rPr>
              <w:t>年金收益率的实证分析</w:t>
            </w:r>
          </w:p>
          <w:p w14:paraId="28086786" w14:textId="688E78B7" w:rsidR="006E5F81" w:rsidRDefault="006E5F81" w:rsidP="006E5F8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4.1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="00A65830">
              <w:rPr>
                <w:rFonts w:ascii="宋体" w:eastAsia="宋体" w:hAnsi="宋体" w:hint="eastAsia"/>
                <w:sz w:val="24"/>
              </w:rPr>
              <w:t>样本数据的选取、来源及分析</w:t>
            </w:r>
          </w:p>
          <w:p w14:paraId="7E9DDCAE" w14:textId="730F9D4E" w:rsidR="009528F2" w:rsidRDefault="006E5F81" w:rsidP="006E5F81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4.2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="00A65830">
              <w:rPr>
                <w:rFonts w:ascii="宋体" w:eastAsia="宋体" w:hAnsi="宋体" w:hint="eastAsia"/>
                <w:sz w:val="24"/>
              </w:rPr>
              <w:t>面板数据模型的构建</w:t>
            </w:r>
          </w:p>
          <w:p w14:paraId="361AD2AF" w14:textId="10FF4616" w:rsidR="00A65830" w:rsidRPr="00A65830" w:rsidRDefault="006E5F81" w:rsidP="00A6583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4.3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 w:rsidR="00A65830" w:rsidRPr="00A65830">
              <w:rPr>
                <w:rFonts w:ascii="宋体" w:eastAsia="宋体" w:hAnsi="宋体"/>
                <w:sz w:val="24"/>
              </w:rPr>
              <w:t>实证检验</w:t>
            </w:r>
          </w:p>
          <w:p w14:paraId="3E1156D2" w14:textId="77777777" w:rsidR="00A65830" w:rsidRPr="00A65830" w:rsidRDefault="00A65830" w:rsidP="00A65830">
            <w:pPr>
              <w:rPr>
                <w:rFonts w:ascii="宋体" w:eastAsia="宋体" w:hAnsi="宋体"/>
                <w:sz w:val="24"/>
              </w:rPr>
            </w:pPr>
            <w:r w:rsidRPr="00A65830">
              <w:rPr>
                <w:rFonts w:ascii="宋体" w:eastAsia="宋体" w:hAnsi="宋体"/>
                <w:sz w:val="24"/>
              </w:rPr>
              <w:t>4.3.1面板数据的平稳性检验</w:t>
            </w:r>
          </w:p>
          <w:p w14:paraId="3A3C8890" w14:textId="77777777" w:rsidR="00A65830" w:rsidRPr="00A65830" w:rsidRDefault="00A65830" w:rsidP="00A65830">
            <w:pPr>
              <w:rPr>
                <w:rFonts w:ascii="宋体" w:eastAsia="宋体" w:hAnsi="宋体"/>
                <w:sz w:val="24"/>
              </w:rPr>
            </w:pPr>
            <w:r w:rsidRPr="00A65830">
              <w:rPr>
                <w:rFonts w:ascii="宋体" w:eastAsia="宋体" w:hAnsi="宋体"/>
                <w:sz w:val="24"/>
              </w:rPr>
              <w:t>4.3.2面板协整检验</w:t>
            </w:r>
          </w:p>
          <w:p w14:paraId="3F4FC0B9" w14:textId="77777777" w:rsidR="00A65830" w:rsidRPr="00A65830" w:rsidRDefault="00A65830" w:rsidP="00A65830">
            <w:pPr>
              <w:rPr>
                <w:rFonts w:ascii="宋体" w:eastAsia="宋体" w:hAnsi="宋体"/>
                <w:sz w:val="24"/>
              </w:rPr>
            </w:pPr>
            <w:r w:rsidRPr="00A65830">
              <w:rPr>
                <w:rFonts w:ascii="宋体" w:eastAsia="宋体" w:hAnsi="宋体"/>
                <w:sz w:val="24"/>
              </w:rPr>
              <w:t>4.4回归结果说明</w:t>
            </w:r>
          </w:p>
          <w:p w14:paraId="18EE4873" w14:textId="77777777" w:rsidR="00A65830" w:rsidRDefault="00A65830" w:rsidP="00A65830">
            <w:pPr>
              <w:rPr>
                <w:rFonts w:ascii="宋体" w:eastAsia="宋体" w:hAnsi="宋体"/>
                <w:sz w:val="24"/>
              </w:rPr>
            </w:pPr>
            <w:r w:rsidRPr="00A65830">
              <w:rPr>
                <w:rFonts w:ascii="宋体" w:eastAsia="宋体" w:hAnsi="宋体"/>
                <w:sz w:val="24"/>
              </w:rPr>
              <w:t>4.5结果分析</w:t>
            </w:r>
          </w:p>
          <w:p w14:paraId="1F45FD22" w14:textId="540D2FC4" w:rsidR="0008614C" w:rsidRDefault="0008614C" w:rsidP="00A65830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第</w:t>
            </w:r>
            <w:r w:rsidR="009528F2">
              <w:rPr>
                <w:rFonts w:ascii="宋体" w:eastAsia="宋体" w:hAnsi="宋体" w:hint="eastAsia"/>
                <w:sz w:val="24"/>
              </w:rPr>
              <w:t>5</w:t>
            </w:r>
            <w:r>
              <w:rPr>
                <w:rFonts w:ascii="宋体" w:eastAsia="宋体" w:hAnsi="宋体" w:hint="eastAsia"/>
                <w:sz w:val="24"/>
              </w:rPr>
              <w:t xml:space="preserve">章 </w:t>
            </w:r>
            <w:r w:rsidR="009528F2">
              <w:rPr>
                <w:rFonts w:ascii="宋体" w:eastAsia="宋体" w:hAnsi="宋体" w:hint="eastAsia"/>
                <w:sz w:val="24"/>
              </w:rPr>
              <w:t>主要结论与建议</w:t>
            </w:r>
          </w:p>
          <w:p w14:paraId="52E5456C" w14:textId="1A1DC171" w:rsidR="009528F2" w:rsidRDefault="009528F2" w:rsidP="0008614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5.1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主要结论</w:t>
            </w:r>
          </w:p>
          <w:p w14:paraId="0292CC0B" w14:textId="0C804837" w:rsidR="009528F2" w:rsidRDefault="009528F2" w:rsidP="0008614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5.2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合理化建议</w:t>
            </w:r>
          </w:p>
          <w:p w14:paraId="305F15B6" w14:textId="340DC56C" w:rsidR="009528F2" w:rsidRDefault="009528F2" w:rsidP="0008614C">
            <w:pPr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5.3</w:t>
            </w:r>
            <w:r>
              <w:rPr>
                <w:rFonts w:ascii="宋体" w:eastAsia="宋体" w:hAnsi="宋体"/>
                <w:sz w:val="24"/>
              </w:rPr>
              <w:t xml:space="preserve"> </w:t>
            </w:r>
            <w:r>
              <w:rPr>
                <w:rFonts w:ascii="宋体" w:eastAsia="宋体" w:hAnsi="宋体" w:hint="eastAsia"/>
                <w:sz w:val="24"/>
              </w:rPr>
              <w:t>不足与展望</w:t>
            </w:r>
          </w:p>
          <w:p w14:paraId="2DBDF9C3" w14:textId="318A3CA9" w:rsidR="0008614C" w:rsidRPr="0008614C" w:rsidRDefault="0008614C" w:rsidP="0008614C">
            <w:pPr>
              <w:rPr>
                <w:rFonts w:ascii="宋体" w:eastAsia="宋体" w:hAnsi="宋体"/>
                <w:sz w:val="24"/>
              </w:rPr>
            </w:pPr>
          </w:p>
        </w:tc>
      </w:tr>
      <w:tr w:rsidR="00AB5DD7" w:rsidRPr="00AB5DD7" w14:paraId="04CFCC3F" w14:textId="77777777" w:rsidTr="000D616E">
        <w:trPr>
          <w:trHeight w:val="2683"/>
          <w:jc w:val="center"/>
        </w:trPr>
        <w:tc>
          <w:tcPr>
            <w:tcW w:w="2362" w:type="dxa"/>
            <w:vAlign w:val="center"/>
          </w:tcPr>
          <w:p w14:paraId="3D53AE29" w14:textId="1A1ACA2B" w:rsidR="00AB5DD7" w:rsidRPr="00AB5DD7" w:rsidRDefault="00AB5DD7" w:rsidP="00AB5DD7">
            <w:pPr>
              <w:jc w:val="center"/>
              <w:rPr>
                <w:rFonts w:ascii="宋体" w:eastAsia="宋体" w:hAnsi="宋体"/>
                <w:sz w:val="24"/>
              </w:rPr>
            </w:pPr>
            <w:r w:rsidRPr="00AB5DD7">
              <w:rPr>
                <w:rFonts w:ascii="宋体" w:eastAsia="宋体" w:hAnsi="宋体" w:hint="eastAsia"/>
                <w:sz w:val="24"/>
              </w:rPr>
              <w:lastRenderedPageBreak/>
              <w:t>论文素材、数据及参考书目</w:t>
            </w:r>
          </w:p>
        </w:tc>
        <w:tc>
          <w:tcPr>
            <w:tcW w:w="6982" w:type="dxa"/>
            <w:vAlign w:val="center"/>
          </w:tcPr>
          <w:p w14:paraId="3D3FC6B3" w14:textId="6FA209AC" w:rsidR="00AB5DD7" w:rsidRPr="007F2193" w:rsidRDefault="007F2193" w:rsidP="00807310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7F21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18"/>
              </w:rPr>
              <w:t>[</w:t>
            </w:r>
            <w:r w:rsidRPr="007F2193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1]</w:t>
            </w:r>
            <w:r w:rsidR="009528F2" w:rsidRPr="007F21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18"/>
              </w:rPr>
              <w:t>《中国养老金发展报告</w:t>
            </w:r>
            <w:r w:rsidR="009528F2" w:rsidRPr="007F2193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2020》在中国社会科学院社会保障论坛上发布</w:t>
            </w:r>
            <w:r w:rsidRPr="007F2193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[J].</w:t>
            </w:r>
            <w:r w:rsidR="009528F2" w:rsidRPr="007F2193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国际融资. 2021(01)</w:t>
            </w:r>
          </w:p>
          <w:p w14:paraId="161569EC" w14:textId="3D5B60AA" w:rsidR="007F2193" w:rsidRPr="007F2193" w:rsidRDefault="007F2193" w:rsidP="00807310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7F2193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[2]</w:t>
            </w:r>
            <w:r w:rsidRPr="007F2193">
              <w:rPr>
                <w:rFonts w:hint="eastAsia"/>
                <w:sz w:val="32"/>
              </w:rPr>
              <w:t xml:space="preserve"> </w:t>
            </w:r>
            <w:r w:rsidRPr="007F21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18"/>
              </w:rPr>
              <w:t>企业年金基金投资风险因素分析与防范</w:t>
            </w:r>
            <w:r w:rsidRPr="007F2193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[J]. 刘军丽.  生产力研究. 2009(21)</w:t>
            </w:r>
          </w:p>
          <w:p w14:paraId="1833C5EA" w14:textId="40D3F5F9" w:rsidR="007F2193" w:rsidRPr="007F2193" w:rsidRDefault="007F2193" w:rsidP="00807310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7F2193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[3]</w:t>
            </w:r>
            <w:r w:rsidRPr="007F2193">
              <w:rPr>
                <w:rFonts w:hint="eastAsia"/>
                <w:sz w:val="32"/>
              </w:rPr>
              <w:t xml:space="preserve"> </w:t>
            </w:r>
            <w:r w:rsidRPr="007F21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18"/>
              </w:rPr>
              <w:t>养老金年金基金投资资产证券化产品可行性研究</w:t>
            </w:r>
            <w:r w:rsidRPr="007F2193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[J]. 王文硕,王艺璇,许绍文.  中国城市金融. 2018(10)</w:t>
            </w:r>
          </w:p>
          <w:p w14:paraId="7848EAA3" w14:textId="69129260" w:rsidR="007F2193" w:rsidRPr="007F2193" w:rsidRDefault="007F2193" w:rsidP="007F219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7F2193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>[4]</w:t>
            </w:r>
            <w:r w:rsidRPr="007F2193">
              <w:rPr>
                <w:rFonts w:hint="eastAsia"/>
                <w:sz w:val="32"/>
              </w:rPr>
              <w:t xml:space="preserve"> </w:t>
            </w:r>
            <w:r w:rsidRPr="007F2193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18"/>
              </w:rPr>
              <w:t>年金基金拓展投资范围</w:t>
            </w:r>
            <w:r w:rsidRPr="007F2193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,为资本市场添动力[J]. 李心萍.  中国经济周刊. 2021(01) </w:t>
            </w:r>
          </w:p>
          <w:p w14:paraId="205E690D" w14:textId="03FA2B1D" w:rsidR="007F2193" w:rsidRPr="007F2193" w:rsidRDefault="007F2193" w:rsidP="007F219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7F2193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[5]年金基金投资 谨记六大法门[J]. 韩强.  卓越理财. 2005(07) </w:t>
            </w:r>
          </w:p>
          <w:p w14:paraId="12B59DEC" w14:textId="2BC4D720" w:rsidR="007F2193" w:rsidRPr="007F2193" w:rsidRDefault="007F2193" w:rsidP="007F219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7F2193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[6]公共养老保险制度改革困境的探讨——基于日本国民年金基金的分析[J]. 张乐川.  现代日本经济. 2016(03) </w:t>
            </w:r>
          </w:p>
          <w:p w14:paraId="5C78333C" w14:textId="09F9E0CE" w:rsidR="007F2193" w:rsidRPr="007F2193" w:rsidRDefault="007F2193" w:rsidP="007F2193">
            <w:pPr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</w:pPr>
            <w:r w:rsidRPr="007F2193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[7]韩国国民年金基金投资的经验教训[J]. 房连泉,郑延慧.  天津社会保险. 2008(05) </w:t>
            </w:r>
          </w:p>
          <w:p w14:paraId="4E4D4152" w14:textId="5011DB66" w:rsidR="007F2193" w:rsidRPr="00AB5DD7" w:rsidRDefault="007F2193" w:rsidP="007F2193">
            <w:pPr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7F2193">
              <w:rPr>
                <w:rFonts w:ascii="宋体" w:eastAsia="宋体" w:hAnsi="宋体" w:cs="宋体"/>
                <w:color w:val="000000"/>
                <w:kern w:val="0"/>
                <w:sz w:val="24"/>
                <w:szCs w:val="18"/>
              </w:rPr>
              <w:t xml:space="preserve">[8]日本厚生年金基金缘何失败[J]. 郭鹏.  中国人力资源社会保障. 2017(09) </w:t>
            </w:r>
          </w:p>
        </w:tc>
      </w:tr>
    </w:tbl>
    <w:p w14:paraId="272563F8" w14:textId="6078AD05" w:rsidR="001C3791" w:rsidRDefault="00AB5DD7" w:rsidP="001C3791">
      <w:pPr>
        <w:ind w:firstLineChars="200" w:firstLine="422"/>
        <w:rPr>
          <w:rFonts w:ascii="宋体" w:eastAsia="宋体" w:hAnsi="宋体"/>
          <w:b/>
          <w:bCs/>
          <w:color w:val="FF0000"/>
        </w:rPr>
      </w:pPr>
      <w:r w:rsidRPr="00AB5DD7">
        <w:rPr>
          <w:rFonts w:ascii="宋体" w:eastAsia="宋体" w:hAnsi="宋体" w:hint="eastAsia"/>
          <w:b/>
          <w:bCs/>
          <w:color w:val="FF0000"/>
        </w:rPr>
        <w:t>注：1、请认真填写各项信息，</w:t>
      </w:r>
      <w:r w:rsidR="001C3791" w:rsidRPr="001C3791">
        <w:rPr>
          <w:rFonts w:ascii="宋体" w:eastAsia="宋体" w:hAnsi="宋体"/>
          <w:b/>
          <w:bCs/>
          <w:color w:val="FF0000"/>
        </w:rPr>
        <w:t>根据学员</w:t>
      </w:r>
      <w:r w:rsidR="001C3791">
        <w:rPr>
          <w:rFonts w:ascii="宋体" w:eastAsia="宋体" w:hAnsi="宋体" w:hint="eastAsia"/>
          <w:b/>
          <w:bCs/>
          <w:color w:val="FF0000"/>
        </w:rPr>
        <w:t>相关情况和拟定</w:t>
      </w:r>
      <w:r w:rsidR="001C3791" w:rsidRPr="001C3791">
        <w:rPr>
          <w:rFonts w:ascii="宋体" w:eastAsia="宋体" w:hAnsi="宋体"/>
          <w:b/>
          <w:bCs/>
          <w:color w:val="FF0000"/>
        </w:rPr>
        <w:t>论文方向，由院系统一分配指导老师。</w:t>
      </w:r>
    </w:p>
    <w:p w14:paraId="2B18AB10" w14:textId="7696012D" w:rsidR="00AB5DD7" w:rsidRPr="00AB5DD7" w:rsidRDefault="001C3791" w:rsidP="001F2172">
      <w:pPr>
        <w:ind w:firstLineChars="200" w:firstLine="422"/>
        <w:rPr>
          <w:rFonts w:ascii="宋体" w:eastAsia="宋体" w:hAnsi="宋体"/>
        </w:rPr>
      </w:pPr>
      <w:r>
        <w:rPr>
          <w:rFonts w:ascii="宋体" w:eastAsia="宋体" w:hAnsi="宋体" w:hint="eastAsia"/>
          <w:b/>
          <w:bCs/>
          <w:color w:val="FF0000"/>
        </w:rPr>
        <w:t>2</w:t>
      </w:r>
      <w:r w:rsidR="00AB5DD7" w:rsidRPr="00AB5DD7">
        <w:rPr>
          <w:rFonts w:ascii="宋体" w:eastAsia="宋体" w:hAnsi="宋体" w:hint="eastAsia"/>
          <w:b/>
          <w:bCs/>
          <w:color w:val="FF0000"/>
        </w:rPr>
        <w:t>、</w:t>
      </w:r>
      <w:r w:rsidR="001F2172" w:rsidRPr="001F2172">
        <w:rPr>
          <w:rFonts w:ascii="宋体" w:eastAsia="宋体" w:hAnsi="宋体" w:hint="eastAsia"/>
          <w:b/>
          <w:bCs/>
          <w:color w:val="FF0000"/>
        </w:rPr>
        <w:t>论文写作和答辩期限以成绩单里“考试日期”列中最后一个日期开始计时，一年半内必须完成，期间只能选择一个时间节点答辩，逾期视为自动放弃答辩资格，学位申请无效，无法延期。</w:t>
      </w:r>
    </w:p>
    <w:sectPr w:rsidR="00AB5DD7" w:rsidRPr="00AB5DD7" w:rsidSect="00AB5DD7">
      <w:pgSz w:w="11906" w:h="16838"/>
      <w:pgMar w:top="1418" w:right="1134" w:bottom="1134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A00343" w14:textId="77777777" w:rsidR="00BC3390" w:rsidRDefault="00BC3390" w:rsidP="0022062E">
      <w:r>
        <w:separator/>
      </w:r>
    </w:p>
  </w:endnote>
  <w:endnote w:type="continuationSeparator" w:id="0">
    <w:p w14:paraId="50CE089D" w14:textId="77777777" w:rsidR="00BC3390" w:rsidRDefault="00BC3390" w:rsidP="00220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A028EF" w14:textId="77777777" w:rsidR="00BC3390" w:rsidRDefault="00BC3390" w:rsidP="0022062E">
      <w:r>
        <w:separator/>
      </w:r>
    </w:p>
  </w:footnote>
  <w:footnote w:type="continuationSeparator" w:id="0">
    <w:p w14:paraId="04EA0ED7" w14:textId="77777777" w:rsidR="00BC3390" w:rsidRDefault="00BC3390" w:rsidP="002206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8614C"/>
    <w:rsid w:val="000B48C1"/>
    <w:rsid w:val="000D616E"/>
    <w:rsid w:val="000E34F8"/>
    <w:rsid w:val="000F3478"/>
    <w:rsid w:val="00111AC2"/>
    <w:rsid w:val="001C3791"/>
    <w:rsid w:val="001D4ABC"/>
    <w:rsid w:val="001F2172"/>
    <w:rsid w:val="0020550F"/>
    <w:rsid w:val="0022062E"/>
    <w:rsid w:val="0029355C"/>
    <w:rsid w:val="002B586B"/>
    <w:rsid w:val="00374EAA"/>
    <w:rsid w:val="003C213C"/>
    <w:rsid w:val="00495454"/>
    <w:rsid w:val="00556D05"/>
    <w:rsid w:val="00572115"/>
    <w:rsid w:val="005F09AA"/>
    <w:rsid w:val="006A3627"/>
    <w:rsid w:val="006E5F81"/>
    <w:rsid w:val="00761113"/>
    <w:rsid w:val="007F2193"/>
    <w:rsid w:val="00807310"/>
    <w:rsid w:val="00842F91"/>
    <w:rsid w:val="00925819"/>
    <w:rsid w:val="009528F2"/>
    <w:rsid w:val="00973A72"/>
    <w:rsid w:val="009D0666"/>
    <w:rsid w:val="00A65830"/>
    <w:rsid w:val="00AB5DD7"/>
    <w:rsid w:val="00B81C56"/>
    <w:rsid w:val="00BC3390"/>
    <w:rsid w:val="00BE4714"/>
    <w:rsid w:val="00C25C7D"/>
    <w:rsid w:val="00C4091D"/>
    <w:rsid w:val="00F02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9D94EB"/>
  <w15:chartTrackingRefBased/>
  <w15:docId w15:val="{B8DA531F-D84C-48FA-9AAA-EED21E41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5819"/>
    <w:rPr>
      <w:color w:val="0563C1" w:themeColor="hyperlink"/>
      <w:u w:val="single"/>
    </w:rPr>
  </w:style>
  <w:style w:type="paragraph" w:customStyle="1" w:styleId="abstract">
    <w:name w:val="abstract"/>
    <w:basedOn w:val="a"/>
    <w:rsid w:val="00C25C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220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206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206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2062E"/>
    <w:rPr>
      <w:sz w:val="18"/>
      <w:szCs w:val="18"/>
    </w:rPr>
  </w:style>
  <w:style w:type="character" w:customStyle="1" w:styleId="abstract-text">
    <w:name w:val="abstract-text"/>
    <w:basedOn w:val="a0"/>
    <w:rsid w:val="005F0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10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5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066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75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157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513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9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12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40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29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299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60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9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4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ummerxkh@126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3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Hang</dc:creator>
  <cp:keywords/>
  <dc:description/>
  <cp:lastModifiedBy>徐凯辉</cp:lastModifiedBy>
  <cp:revision>15</cp:revision>
  <dcterms:created xsi:type="dcterms:W3CDTF">2021-01-20T08:38:00Z</dcterms:created>
  <dcterms:modified xsi:type="dcterms:W3CDTF">2021-06-08T09:17:00Z</dcterms:modified>
</cp:coreProperties>
</file>