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71041153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张宇辰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企业</w:t>
            </w:r>
            <w:r>
              <w:rPr>
                <w:rFonts w:ascii="宋体" w:hAnsi="宋体" w:eastAsia="宋体"/>
                <w:sz w:val="24"/>
              </w:rPr>
              <w:t>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13522742506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676614040@qq.com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首都师范大学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国际经济与贸易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北现租赁有限公司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零售信审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本人张宇辰</w:t>
            </w:r>
            <w:r>
              <w:rPr>
                <w:rFonts w:ascii="宋体" w:hAnsi="宋体" w:eastAsia="宋体"/>
                <w:sz w:val="24"/>
              </w:rPr>
              <w:t>，19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91年</w:t>
            </w:r>
            <w:r>
              <w:rPr>
                <w:rFonts w:ascii="宋体" w:hAnsi="宋体" w:eastAsia="宋体"/>
                <w:sz w:val="24"/>
              </w:rPr>
              <w:t>出生，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户籍北京</w:t>
            </w:r>
            <w:r>
              <w:rPr>
                <w:rFonts w:ascii="宋体" w:hAnsi="宋体" w:eastAsia="宋体"/>
                <w:sz w:val="24"/>
              </w:rPr>
              <w:t>，200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</w:t>
            </w:r>
            <w:r>
              <w:rPr>
                <w:rFonts w:ascii="宋体" w:hAnsi="宋体" w:eastAsia="宋体"/>
                <w:sz w:val="24"/>
              </w:rPr>
              <w:t>-20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就读于首都师范大学国际经济与贸易专业，在大学本科期间曾参与北京市科研立项，研究课题为北京市最低工资标准与农民工利益保护，并顺利通过项目验收。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</w:t>
            </w:r>
            <w:r>
              <w:rPr>
                <w:rFonts w:hint="default" w:ascii="宋体" w:hAnsi="宋体" w:eastAsia="宋体"/>
                <w:sz w:val="24"/>
              </w:rPr>
              <w:t>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</w:t>
            </w:r>
            <w:r>
              <w:rPr>
                <w:rFonts w:hint="default" w:ascii="宋体" w:hAnsi="宋体" w:eastAsia="宋体"/>
                <w:sz w:val="24"/>
              </w:rPr>
              <w:t>月-2016年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11</w:t>
            </w:r>
            <w:r>
              <w:rPr>
                <w:rFonts w:hint="default" w:ascii="宋体" w:hAnsi="宋体" w:eastAsia="宋体"/>
                <w:sz w:val="24"/>
              </w:rPr>
              <w:t>月就职于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北京农村商业银行股份有限公司，任职信贷经理岗位</w:t>
            </w:r>
            <w:r>
              <w:rPr>
                <w:rFonts w:hint="default"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曾参与顺义鼎顺家园两限住房，海淀清河新城，门头沟檀香嘉园等土地二级开发贷款项目</w:t>
            </w:r>
            <w:r>
              <w:rPr>
                <w:rFonts w:hint="default" w:ascii="宋体" w:hAnsi="宋体" w:eastAsia="宋体"/>
                <w:sz w:val="24"/>
              </w:rPr>
              <w:t>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经办中小微企业贷款，个人按揭贷款，银行票据业务余额共计5000余万元；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</w:rPr>
              <w:t>2016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年11</w:t>
            </w:r>
            <w:r>
              <w:rPr>
                <w:rFonts w:hint="default" w:ascii="宋体" w:hAnsi="宋体" w:eastAsia="宋体"/>
                <w:sz w:val="24"/>
              </w:rPr>
              <w:t>月-至今，就职于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北现租赁有限公司，任职信贷审批，负责全国个人汽车消费贷款，以及个人汽车融资租赁申请审批，业务余额共计7.5亿元，识别欺诈案件2起，约保护公司资产300万元左右。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4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汽车消费贷款或融资租赁审核过程中的风险因素分析及模型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自2008年《汽车金融公司管理办法》经中国银行业监督管理委员会第64次主席会议通过后，我国汽车金融行业进入稳定，有序的发展阶段，截至2019年，我国汽车金融市场总体规模达到约1.7万亿元，其中新购车辆融资租赁渗透率比例达到了8%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对于融资租赁公司而言，租赁存续期内对标的物（车辆）的所有权和使用权是分离的，这就为适当放宽申请人资质提供了必要的基础。但我国汽车融资租赁尚处于发展的初级阶段，由于发展时间较短，风险规避方式不足，C端申请人资质门槛下降，也就增加了C端申请人不能按时履约，或者恶意欺诈的风险。那么，如何选择一个合理的信用风险度量模型就成为我国汽车融资租赁C端风险控制的重要核心问题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文通过基于信用风险附加模型（CSFP）的实证性分析，研究该模型对我国汽车融资租赁C端风险控制的应用与影响。并力图在现有模型的基础上，结合我国C端申请人特点进行创新，从而使之更加适应我国汽车融资市场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基于信用风险附加模型的我国汽车融资租赁C端风险控制研究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lang w:val="en-US" w:eastAsia="zh-CN"/>
              </w:rPr>
            </w:pPr>
            <w:bookmarkStart w:id="0" w:name="_Toc31954"/>
            <w:bookmarkStart w:id="1" w:name="_Toc29107"/>
            <w:r>
              <w:rPr>
                <w:rFonts w:hint="eastAsia"/>
                <w:lang w:val="en-US" w:eastAsia="zh-CN"/>
              </w:rPr>
              <w:t>绪论</w:t>
            </w:r>
            <w:bookmarkEnd w:id="0"/>
            <w:bookmarkEnd w:id="1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</w:pPr>
            <w:bookmarkStart w:id="2" w:name="_Toc2991"/>
            <w:bookmarkStart w:id="3" w:name="_Toc27968"/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_Toc2991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1.1研究背景，研究目的以及意义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_Toc19682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1.2国内外理论研究现状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_Toc30985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1.3论文主要研究思路以及框架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1.4论文的创新点以及不足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相关理论基础</w:t>
            </w:r>
          </w:p>
          <w:bookmarkEnd w:id="2"/>
          <w:bookmarkEnd w:id="3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</w:pPr>
            <w:bookmarkStart w:id="4" w:name="_Toc28715"/>
            <w:bookmarkStart w:id="5" w:name="_Toc20226"/>
            <w:bookmarkStart w:id="6" w:name="_Toc16621"/>
            <w:bookmarkStart w:id="7" w:name="_Toc2728"/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_Toc2728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2.1汽车融资租赁相关理论概念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_Toc3745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2.2信用风险度量模型相关理论概念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2.3信用风险附加模型（CSFP）的相关理论概念</w:t>
            </w:r>
          </w:p>
          <w:bookmarkEnd w:id="4"/>
          <w:bookmarkEnd w:id="5"/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信用风险附加模型在我国汽车融资租赁C端应用现状及分析</w:t>
            </w:r>
          </w:p>
          <w:bookmarkEnd w:id="6"/>
          <w:bookmarkEnd w:id="7"/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/>
              </w:rPr>
            </w:pPr>
            <w:bookmarkStart w:id="8" w:name="_Toc2161"/>
            <w:bookmarkStart w:id="9" w:name="_Toc2589"/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_Toc13419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3.1 我国汽车融资租赁C端市场现状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_Toc11838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3.2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信用风险附加模型与现有信用风险度量模型比较分析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_Toc10639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3.3 信用风险附加模型在我国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汽车融资租赁市场C端风险控制的应用分析——以北现租赁有限公司为例</w:t>
            </w:r>
          </w:p>
          <w:bookmarkEnd w:id="8"/>
          <w:bookmarkEnd w:id="9"/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信用风险附加法模型</w:t>
            </w:r>
            <w:r>
              <w:rPr>
                <w:rFonts w:hint="eastAsia"/>
                <w:lang w:val="en-US" w:eastAsia="zh-CN"/>
              </w:rPr>
              <w:t>的实证分析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bookmarkStart w:id="10" w:name="_Toc12471"/>
            <w:bookmarkStart w:id="11" w:name="_Toc12530"/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_Toc7428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 xml:space="preserve">5.1 </w:t>
            </w:r>
            <w:r>
              <w:rPr>
                <w:rFonts w:hint="default"/>
                <w:lang w:val="en-US" w:eastAsia="zh-CN"/>
              </w:rPr>
              <w:t>信用风险附加法模型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基本框架与原理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\l _Toc26558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5.2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 xml:space="preserve"> 样本选择与数据来源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5.3 相关参数与描述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5.4 模型有效性分析</w:t>
            </w:r>
            <w:bookmarkStart w:id="14" w:name="_GoBack"/>
            <w:bookmarkEnd w:id="14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结论与建议</w:t>
            </w:r>
            <w:bookmarkEnd w:id="10"/>
            <w:bookmarkEnd w:id="11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bookmarkStart w:id="12" w:name="_Toc24444"/>
            <w:r>
              <w:rPr>
                <w:rFonts w:hint="eastAsia"/>
                <w:lang w:val="en-US" w:eastAsia="zh-CN"/>
              </w:rPr>
              <w:t>6.1结论</w:t>
            </w:r>
            <w:bookmarkEnd w:id="12"/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ind w:firstLine="420" w:firstLineChars="200"/>
              <w:textAlignment w:val="auto"/>
              <w:rPr>
                <w:rFonts w:ascii="宋体" w:hAnsi="宋体" w:eastAsia="宋体"/>
                <w:sz w:val="24"/>
              </w:rPr>
            </w:pPr>
            <w:bookmarkStart w:id="13" w:name="_Toc18491"/>
            <w:r>
              <w:rPr>
                <w:rFonts w:hint="eastAsia"/>
                <w:lang w:val="en-US" w:eastAsia="zh-CN"/>
              </w:rPr>
              <w:t>6.2建议</w:t>
            </w:r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 w:ascii="宋体" w:hAnsi="宋体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《2020中国汽车金融报告》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eastAsia="zh-CN"/>
              </w:rPr>
              <w:t>；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EE4CD"/>
    <w:multiLevelType w:val="singleLevel"/>
    <w:tmpl w:val="C39EE4CD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14051995"/>
    <w:rsid w:val="14EC39A8"/>
    <w:rsid w:val="21732A9F"/>
    <w:rsid w:val="36D77AD4"/>
    <w:rsid w:val="3D1A7FF4"/>
    <w:rsid w:val="43764DF4"/>
    <w:rsid w:val="52376889"/>
    <w:rsid w:val="54BE2997"/>
    <w:rsid w:val="585C5886"/>
    <w:rsid w:val="59B0140D"/>
    <w:rsid w:val="5D1A339A"/>
    <w:rsid w:val="64D15301"/>
    <w:rsid w:val="72126EAF"/>
    <w:rsid w:val="76240F3D"/>
    <w:rsid w:val="7AAE2895"/>
    <w:rsid w:val="7C473403"/>
    <w:rsid w:val="9EBF8871"/>
    <w:rsid w:val="E971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70</Words>
  <Characters>402</Characters>
  <Lines>3</Lines>
  <Paragraphs>1</Paragraphs>
  <TotalTime>35</TotalTime>
  <ScaleCrop>false</ScaleCrop>
  <LinksUpToDate>false</LinksUpToDate>
  <CharactersWithSpaces>471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2021-01-21T00:38:00Z</dcterms:created>
  <dc:creator>Qi Hang</dc:creator>
  <cp:lastModifiedBy>Noone</cp:lastModifiedBy>
  <dcterms:modified xsi:type="dcterms:W3CDTF">2021-06-18T12:00:09Z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7E3D83DEAC7944E1AED760005E119BF4</vt:lpwstr>
  </property>
</Properties>
</file>