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47" w:rsidRDefault="008A109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523947" w:rsidRDefault="0052394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523947" w:rsidRDefault="008A1095" w:rsidP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</w:t>
            </w:r>
            <w:r>
              <w:rPr>
                <w:rFonts w:ascii="宋体" w:eastAsia="宋体" w:hAnsi="宋体" w:hint="eastAsia"/>
                <w:sz w:val="24"/>
              </w:rPr>
              <w:t>1218</w:t>
            </w:r>
          </w:p>
        </w:tc>
        <w:tc>
          <w:tcPr>
            <w:tcW w:w="1427" w:type="dxa"/>
            <w:gridSpan w:val="2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刘淑婷</w:t>
            </w:r>
          </w:p>
        </w:tc>
      </w:tr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济南</w:t>
            </w:r>
          </w:p>
        </w:tc>
        <w:tc>
          <w:tcPr>
            <w:tcW w:w="1427" w:type="dxa"/>
            <w:gridSpan w:val="2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18766152006</w:t>
            </w:r>
          </w:p>
        </w:tc>
        <w:tc>
          <w:tcPr>
            <w:tcW w:w="1427" w:type="dxa"/>
            <w:gridSpan w:val="2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1534311422@qq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山东财经大学</w:t>
            </w:r>
          </w:p>
        </w:tc>
        <w:tc>
          <w:tcPr>
            <w:tcW w:w="1427" w:type="dxa"/>
            <w:gridSpan w:val="2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财政学</w:t>
            </w:r>
          </w:p>
        </w:tc>
      </w:tr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新华人寿保险股份有限公司山东分公司</w:t>
            </w:r>
          </w:p>
        </w:tc>
        <w:tc>
          <w:tcPr>
            <w:tcW w:w="1427" w:type="dxa"/>
            <w:gridSpan w:val="2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523947">
        <w:trPr>
          <w:trHeight w:val="3948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刘淑婷</w:t>
            </w:r>
            <w:r>
              <w:rPr>
                <w:rFonts w:ascii="宋体" w:eastAsia="宋体" w:hAnsi="宋体"/>
                <w:sz w:val="24"/>
              </w:rPr>
              <w:t>，19</w:t>
            </w:r>
            <w:r>
              <w:rPr>
                <w:rFonts w:ascii="宋体" w:eastAsia="宋体" w:hAnsi="宋体" w:hint="eastAsia"/>
                <w:sz w:val="24"/>
              </w:rPr>
              <w:t>93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山东</w:t>
            </w:r>
            <w:r>
              <w:rPr>
                <w:rFonts w:ascii="宋体" w:eastAsia="宋体" w:hAnsi="宋体"/>
                <w:sz w:val="24"/>
              </w:rPr>
              <w:t>省</w:t>
            </w:r>
            <w:r>
              <w:rPr>
                <w:rFonts w:ascii="宋体" w:eastAsia="宋体" w:hAnsi="宋体" w:hint="eastAsia"/>
                <w:sz w:val="24"/>
              </w:rPr>
              <w:t>郓城县</w:t>
            </w:r>
            <w:r>
              <w:rPr>
                <w:rFonts w:ascii="宋体" w:eastAsia="宋体" w:hAnsi="宋体"/>
                <w:sz w:val="24"/>
              </w:rPr>
              <w:t>，20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山东</w:t>
            </w:r>
            <w:r>
              <w:rPr>
                <w:rFonts w:ascii="宋体" w:eastAsia="宋体" w:hAnsi="宋体"/>
                <w:sz w:val="24"/>
              </w:rPr>
              <w:t>省</w:t>
            </w:r>
            <w:r>
              <w:rPr>
                <w:rFonts w:ascii="宋体" w:eastAsia="宋体" w:hAnsi="宋体" w:hint="eastAsia"/>
                <w:sz w:val="24"/>
              </w:rPr>
              <w:t>山东财经大学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:rsidR="00523947" w:rsidRDefault="008A1095" w:rsidP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月-201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新华人寿保险股份有限公司山东分公司</w:t>
            </w:r>
            <w:r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电话回访作业</w:t>
            </w:r>
            <w:r>
              <w:rPr>
                <w:rFonts w:ascii="宋体" w:eastAsia="宋体" w:hAnsi="宋体"/>
                <w:sz w:val="24"/>
              </w:rPr>
              <w:t>岗位；2016年6月-至今，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辞职在家备考注册会计师，现已通过三门</w:t>
            </w:r>
            <w:r w:rsidR="00DF19D1">
              <w:rPr>
                <w:rFonts w:ascii="宋体" w:eastAsia="宋体" w:hAnsi="宋体" w:hint="eastAsia"/>
                <w:sz w:val="24"/>
              </w:rPr>
              <w:t>，同时通过了中级会计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523947" w:rsidRDefault="008A1095" w:rsidP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523947" w:rsidRDefault="0052394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523947" w:rsidRDefault="00523947">
            <w:pPr>
              <w:rPr>
                <w:rFonts w:ascii="宋体" w:eastAsia="宋体" w:hAnsi="宋体"/>
                <w:sz w:val="24"/>
              </w:rPr>
            </w:pPr>
          </w:p>
        </w:tc>
      </w:tr>
      <w:tr w:rsidR="00523947">
        <w:trPr>
          <w:trHeight w:val="680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523947" w:rsidRDefault="008A10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523947">
        <w:trPr>
          <w:trHeight w:val="3156"/>
          <w:jc w:val="center"/>
        </w:trPr>
        <w:tc>
          <w:tcPr>
            <w:tcW w:w="2361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523947" w:rsidRDefault="00523947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523947" w:rsidRDefault="00523947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2"/>
        <w:gridCol w:w="6982"/>
      </w:tblGrid>
      <w:tr w:rsidR="00523947">
        <w:trPr>
          <w:trHeight w:val="680"/>
          <w:jc w:val="center"/>
        </w:trPr>
        <w:tc>
          <w:tcPr>
            <w:tcW w:w="2362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523947" w:rsidRDefault="002865A3" w:rsidP="00DF19D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保险科技提升我国保险企业竞争力</w:t>
            </w:r>
          </w:p>
        </w:tc>
      </w:tr>
      <w:tr w:rsidR="00523947">
        <w:trPr>
          <w:trHeight w:val="2560"/>
          <w:jc w:val="center"/>
        </w:trPr>
        <w:tc>
          <w:tcPr>
            <w:tcW w:w="2362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FF05D8" w:rsidRDefault="00FF05D8" w:rsidP="00FF05D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FF05D8">
              <w:rPr>
                <w:rFonts w:ascii="宋体" w:eastAsia="宋体" w:hAnsi="宋体" w:hint="eastAsia"/>
                <w:sz w:val="24"/>
              </w:rPr>
              <w:t>在中国保险行业高速发展的背后隐藏着多数险企经营惨淡的现状，另外长期的粗放式发展方式更是带来了诸多行业痛点。因此，科技驱动行业实现高质量发展是必由之路。</w:t>
            </w:r>
          </w:p>
          <w:p w:rsidR="00FA281C" w:rsidRPr="00FA281C" w:rsidRDefault="007A32CC" w:rsidP="00FF05D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7A32CC">
              <w:rPr>
                <w:rFonts w:ascii="宋体" w:eastAsia="宋体" w:hAnsi="宋体" w:hint="eastAsia"/>
                <w:sz w:val="24"/>
              </w:rPr>
              <w:t>本文的主要内容本文以企业竞争力理论为指导</w:t>
            </w:r>
            <w:r w:rsidRPr="007A32CC">
              <w:rPr>
                <w:rFonts w:ascii="宋体" w:eastAsia="宋体" w:hAnsi="宋体"/>
                <w:sz w:val="24"/>
              </w:rPr>
              <w:t>,在波特的五力模型和价</w:t>
            </w:r>
            <w:r w:rsidRPr="007A32CC">
              <w:rPr>
                <w:rFonts w:ascii="宋体" w:eastAsia="宋体" w:hAnsi="宋体" w:hint="eastAsia"/>
                <w:sz w:val="24"/>
              </w:rPr>
              <w:t>值链模型分析的基础上</w:t>
            </w:r>
            <w:r w:rsidRPr="007A32CC">
              <w:rPr>
                <w:rFonts w:ascii="宋体" w:eastAsia="宋体" w:hAnsi="宋体"/>
                <w:sz w:val="24"/>
              </w:rPr>
              <w:t>,分析</w:t>
            </w:r>
            <w:r w:rsidR="002865A3">
              <w:rPr>
                <w:rFonts w:ascii="宋体" w:eastAsia="宋体" w:hAnsi="宋体" w:hint="eastAsia"/>
                <w:sz w:val="24"/>
              </w:rPr>
              <w:t>保险科技是我国</w:t>
            </w:r>
            <w:r w:rsidRPr="007A32CC">
              <w:rPr>
                <w:rFonts w:ascii="宋体" w:eastAsia="宋体" w:hAnsi="宋体"/>
                <w:sz w:val="24"/>
              </w:rPr>
              <w:t>保险公司竞争力的因素,并</w:t>
            </w:r>
            <w:r w:rsidR="002865A3">
              <w:rPr>
                <w:rFonts w:ascii="宋体" w:eastAsia="宋体" w:hAnsi="宋体" w:hint="eastAsia"/>
                <w:sz w:val="24"/>
              </w:rPr>
              <w:t>构建简单的能够在一定程度上反映和影响我国</w:t>
            </w:r>
            <w:r w:rsidRPr="007A32CC">
              <w:rPr>
                <w:rFonts w:ascii="宋体" w:eastAsia="宋体" w:hAnsi="宋体" w:hint="eastAsia"/>
                <w:sz w:val="24"/>
              </w:rPr>
              <w:t>保险公司竞争力的指标体系。</w:t>
            </w:r>
            <w:r w:rsidR="00FA281C">
              <w:rPr>
                <w:rFonts w:ascii="宋体" w:eastAsia="宋体" w:hAnsi="宋体" w:hint="eastAsia"/>
                <w:sz w:val="24"/>
              </w:rPr>
              <w:t>从</w:t>
            </w:r>
            <w:r w:rsidR="00FA281C" w:rsidRPr="00FA281C">
              <w:rPr>
                <w:rFonts w:ascii="宋体" w:eastAsia="宋体" w:hAnsi="宋体" w:hint="eastAsia"/>
                <w:sz w:val="24"/>
              </w:rPr>
              <w:t>《中国保险年鉴</w:t>
            </w:r>
            <w:r w:rsidR="00FA281C">
              <w:rPr>
                <w:rFonts w:ascii="宋体" w:eastAsia="宋体" w:hAnsi="宋体" w:hint="eastAsia"/>
                <w:sz w:val="24"/>
              </w:rPr>
              <w:t>》、</w:t>
            </w:r>
            <w:r w:rsidR="00FA281C" w:rsidRPr="00FA281C">
              <w:rPr>
                <w:rFonts w:ascii="宋体" w:eastAsia="宋体" w:hAnsi="宋体" w:hint="eastAsia"/>
                <w:sz w:val="24"/>
              </w:rPr>
              <w:t>《2</w:t>
            </w:r>
          </w:p>
          <w:p w:rsidR="007A32CC" w:rsidRDefault="00443422" w:rsidP="00CC280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02</w:t>
            </w:r>
            <w:r w:rsidR="00FA281C" w:rsidRPr="00FA281C">
              <w:rPr>
                <w:rFonts w:ascii="宋体" w:eastAsia="宋体" w:hAnsi="宋体" w:hint="eastAsia"/>
                <w:sz w:val="24"/>
              </w:rPr>
              <w:t>0 年公司年报》</w:t>
            </w:r>
            <w:r w:rsidR="00FA281C">
              <w:rPr>
                <w:rFonts w:ascii="宋体" w:eastAsia="宋体" w:hAnsi="宋体" w:hint="eastAsia"/>
                <w:sz w:val="24"/>
              </w:rPr>
              <w:t>以及</w:t>
            </w:r>
            <w:r w:rsidR="00FA281C" w:rsidRPr="00FA281C">
              <w:rPr>
                <w:rFonts w:ascii="宋体" w:eastAsia="宋体" w:hAnsi="宋体" w:hint="eastAsia"/>
                <w:sz w:val="24"/>
              </w:rPr>
              <w:t>中国保监会官方网站的“统计数据”板块</w:t>
            </w:r>
            <w:r w:rsidR="002865A3">
              <w:rPr>
                <w:rFonts w:ascii="宋体" w:eastAsia="宋体" w:hAnsi="宋体" w:hint="eastAsia"/>
                <w:sz w:val="24"/>
              </w:rPr>
              <w:t>获得数据进行分析，</w:t>
            </w:r>
            <w:r w:rsidR="002865A3">
              <w:rPr>
                <w:rFonts w:ascii="宋体" w:eastAsia="宋体" w:hAnsi="宋体"/>
                <w:sz w:val="24"/>
              </w:rPr>
              <w:t>评价</w:t>
            </w:r>
            <w:r w:rsidR="00CC280B">
              <w:rPr>
                <w:rFonts w:ascii="宋体" w:eastAsia="宋体" w:hAnsi="宋体" w:hint="eastAsia"/>
                <w:sz w:val="24"/>
              </w:rPr>
              <w:t>保险科技对</w:t>
            </w:r>
            <w:r w:rsidR="002865A3">
              <w:rPr>
                <w:rFonts w:ascii="宋体" w:eastAsia="宋体" w:hAnsi="宋体"/>
                <w:sz w:val="24"/>
              </w:rPr>
              <w:t>我国</w:t>
            </w:r>
            <w:r w:rsidR="007A32CC" w:rsidRPr="007A32CC">
              <w:rPr>
                <w:rFonts w:ascii="宋体" w:eastAsia="宋体" w:hAnsi="宋体"/>
                <w:sz w:val="24"/>
              </w:rPr>
              <w:t>保险公司竞争力</w:t>
            </w:r>
            <w:r w:rsidR="00CC280B">
              <w:rPr>
                <w:rFonts w:ascii="宋体" w:eastAsia="宋体" w:hAnsi="宋体" w:hint="eastAsia"/>
                <w:sz w:val="24"/>
              </w:rPr>
              <w:t>的影响</w:t>
            </w:r>
            <w:r w:rsidR="007A32CC" w:rsidRPr="007A32CC">
              <w:rPr>
                <w:rFonts w:ascii="宋体" w:eastAsia="宋体" w:hAnsi="宋体"/>
                <w:sz w:val="24"/>
              </w:rPr>
              <w:t>,</w:t>
            </w:r>
            <w:r w:rsidR="008448AF">
              <w:rPr>
                <w:rFonts w:ascii="宋体" w:eastAsia="宋体" w:hAnsi="宋体" w:hint="eastAsia"/>
                <w:sz w:val="24"/>
              </w:rPr>
              <w:t>并得出结论，从而</w:t>
            </w:r>
            <w:r w:rsidR="002865A3">
              <w:rPr>
                <w:rFonts w:ascii="宋体" w:eastAsia="宋体" w:hAnsi="宋体"/>
                <w:sz w:val="24"/>
              </w:rPr>
              <w:t>提出提升我国</w:t>
            </w:r>
            <w:r w:rsidR="007A32CC" w:rsidRPr="007A32CC">
              <w:rPr>
                <w:rFonts w:ascii="宋体" w:eastAsia="宋体" w:hAnsi="宋体"/>
                <w:sz w:val="24"/>
              </w:rPr>
              <w:t>保险公司竞争力的建议。</w:t>
            </w:r>
          </w:p>
        </w:tc>
      </w:tr>
      <w:tr w:rsidR="00523947">
        <w:trPr>
          <w:trHeight w:val="680"/>
          <w:jc w:val="center"/>
        </w:trPr>
        <w:tc>
          <w:tcPr>
            <w:tcW w:w="2362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523947" w:rsidRDefault="007965F6" w:rsidP="00FF05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保险科技对</w:t>
            </w:r>
            <w:r w:rsidR="002865A3">
              <w:rPr>
                <w:rFonts w:ascii="宋体" w:eastAsia="宋体" w:hAnsi="宋体" w:hint="eastAsia"/>
                <w:sz w:val="24"/>
              </w:rPr>
              <w:t>我国</w:t>
            </w:r>
            <w:r w:rsidR="00FF05D8">
              <w:rPr>
                <w:rFonts w:ascii="宋体" w:eastAsia="宋体" w:hAnsi="宋体" w:hint="eastAsia"/>
                <w:sz w:val="24"/>
              </w:rPr>
              <w:t>保险企业竞争力</w:t>
            </w:r>
            <w:r>
              <w:rPr>
                <w:rFonts w:ascii="宋体" w:eastAsia="宋体" w:hAnsi="宋体" w:hint="eastAsia"/>
                <w:sz w:val="24"/>
              </w:rPr>
              <w:t>影响</w:t>
            </w:r>
            <w:r w:rsidR="00925053">
              <w:rPr>
                <w:rFonts w:ascii="宋体" w:eastAsia="宋体" w:hAnsi="宋体" w:hint="eastAsia"/>
                <w:sz w:val="24"/>
              </w:rPr>
              <w:t>的实证研究</w:t>
            </w:r>
          </w:p>
        </w:tc>
      </w:tr>
      <w:tr w:rsidR="00523947">
        <w:trPr>
          <w:trHeight w:val="6386"/>
          <w:jc w:val="center"/>
        </w:trPr>
        <w:tc>
          <w:tcPr>
            <w:tcW w:w="2362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DF19D1" w:rsidRDefault="00DF19D1" w:rsidP="00DF19D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DF19D1">
              <w:rPr>
                <w:rFonts w:ascii="宋体" w:eastAsia="宋体" w:hAnsi="宋体" w:hint="eastAsia"/>
                <w:sz w:val="24"/>
              </w:rPr>
              <w:t>绪论</w:t>
            </w:r>
          </w:p>
          <w:p w:rsidR="00DF19D1" w:rsidRDefault="00DF19D1" w:rsidP="00DF19D1">
            <w:pPr>
              <w:pStyle w:val="a3"/>
              <w:ind w:left="825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 研究背景及意义</w:t>
            </w:r>
          </w:p>
          <w:p w:rsidR="00DF19D1" w:rsidRDefault="00DF19D1" w:rsidP="00DF19D1">
            <w:pPr>
              <w:pStyle w:val="a3"/>
              <w:ind w:left="825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 研究思路</w:t>
            </w:r>
          </w:p>
          <w:p w:rsidR="00DF19D1" w:rsidRPr="00DF19D1" w:rsidRDefault="00DF19D1" w:rsidP="00DF19D1">
            <w:pPr>
              <w:pStyle w:val="a3"/>
              <w:ind w:left="825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 本文创新之处与不足之处</w:t>
            </w:r>
          </w:p>
          <w:p w:rsidR="00DF19D1" w:rsidRDefault="00DF19D1" w:rsidP="00DF19D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DF19D1">
              <w:rPr>
                <w:rFonts w:ascii="宋体" w:eastAsia="宋体" w:hAnsi="宋体" w:hint="eastAsia"/>
                <w:sz w:val="24"/>
              </w:rPr>
              <w:t>文献综述</w:t>
            </w:r>
            <w:r>
              <w:rPr>
                <w:rFonts w:ascii="宋体" w:eastAsia="宋体" w:hAnsi="宋体" w:hint="eastAsia"/>
                <w:sz w:val="24"/>
              </w:rPr>
              <w:t>与理论基础</w:t>
            </w:r>
          </w:p>
          <w:p w:rsidR="00DF19D1" w:rsidRDefault="00DF19D1" w:rsidP="00DF19D1">
            <w:pPr>
              <w:pStyle w:val="a3"/>
              <w:ind w:left="825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2.1 </w:t>
            </w:r>
            <w:r w:rsidR="0036478C">
              <w:rPr>
                <w:rFonts w:ascii="宋体" w:eastAsia="宋体" w:hAnsi="宋体" w:hint="eastAsia"/>
                <w:sz w:val="24"/>
              </w:rPr>
              <w:t>国内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:rsidR="0036478C" w:rsidRDefault="0036478C" w:rsidP="00DF19D1">
            <w:pPr>
              <w:pStyle w:val="a3"/>
              <w:ind w:left="825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2.2国外文献综述</w:t>
            </w:r>
          </w:p>
          <w:p w:rsidR="0019002F" w:rsidRDefault="00DF19D1" w:rsidP="00DF19D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第三章 </w:t>
            </w:r>
            <w:r w:rsidR="0019002F">
              <w:rPr>
                <w:rFonts w:ascii="宋体" w:eastAsia="宋体" w:hAnsi="宋体" w:hint="eastAsia"/>
                <w:sz w:val="24"/>
              </w:rPr>
              <w:t>保险</w:t>
            </w:r>
            <w:r w:rsidR="006E393E">
              <w:rPr>
                <w:rFonts w:ascii="宋体" w:eastAsia="宋体" w:hAnsi="宋体" w:hint="eastAsia"/>
                <w:sz w:val="24"/>
              </w:rPr>
              <w:t>行</w:t>
            </w:r>
            <w:r w:rsidR="0019002F">
              <w:rPr>
                <w:rFonts w:ascii="宋体" w:eastAsia="宋体" w:hAnsi="宋体" w:hint="eastAsia"/>
                <w:sz w:val="24"/>
              </w:rPr>
              <w:t>业的发展及现状</w:t>
            </w:r>
          </w:p>
          <w:p w:rsidR="0019002F" w:rsidRDefault="00DF19D1" w:rsidP="00DF19D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3.1 </w:t>
            </w:r>
            <w:r w:rsidR="0019002F">
              <w:rPr>
                <w:rFonts w:ascii="宋体" w:eastAsia="宋体" w:hAnsi="宋体" w:hint="eastAsia"/>
                <w:sz w:val="24"/>
              </w:rPr>
              <w:t>国际保险</w:t>
            </w:r>
            <w:r w:rsidR="006E393E">
              <w:rPr>
                <w:rFonts w:ascii="宋体" w:eastAsia="宋体" w:hAnsi="宋体" w:hint="eastAsia"/>
                <w:sz w:val="24"/>
              </w:rPr>
              <w:t>行</w:t>
            </w:r>
            <w:r w:rsidR="0019002F">
              <w:rPr>
                <w:rFonts w:ascii="宋体" w:eastAsia="宋体" w:hAnsi="宋体" w:hint="eastAsia"/>
                <w:sz w:val="24"/>
              </w:rPr>
              <w:t>业的发展</w:t>
            </w:r>
          </w:p>
          <w:p w:rsidR="0019002F" w:rsidRDefault="00DF19D1" w:rsidP="00DF19D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3.2</w:t>
            </w:r>
            <w:r w:rsidR="0019002F">
              <w:rPr>
                <w:rFonts w:ascii="宋体" w:eastAsia="宋体" w:hAnsi="宋体" w:hint="eastAsia"/>
                <w:sz w:val="24"/>
              </w:rPr>
              <w:t xml:space="preserve"> 我国保险</w:t>
            </w:r>
            <w:r w:rsidR="006E393E">
              <w:rPr>
                <w:rFonts w:ascii="宋体" w:eastAsia="宋体" w:hAnsi="宋体" w:hint="eastAsia"/>
                <w:sz w:val="24"/>
              </w:rPr>
              <w:t>行</w:t>
            </w:r>
            <w:r w:rsidR="0019002F">
              <w:rPr>
                <w:rFonts w:ascii="宋体" w:eastAsia="宋体" w:hAnsi="宋体" w:hint="eastAsia"/>
                <w:sz w:val="24"/>
              </w:rPr>
              <w:t>业的发展</w:t>
            </w:r>
          </w:p>
          <w:p w:rsidR="0019002F" w:rsidRDefault="0019002F" w:rsidP="00DF19D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3.3 </w:t>
            </w:r>
            <w:r w:rsidR="006E393E">
              <w:rPr>
                <w:rFonts w:ascii="宋体" w:eastAsia="宋体" w:hAnsi="宋体" w:hint="eastAsia"/>
                <w:sz w:val="24"/>
              </w:rPr>
              <w:t>保险科技对保险行业的影响</w:t>
            </w:r>
          </w:p>
          <w:p w:rsidR="00DF19D1" w:rsidRDefault="00DF19D1" w:rsidP="00DF19D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第四章</w:t>
            </w:r>
            <w:r w:rsidR="006E393E">
              <w:rPr>
                <w:rFonts w:ascii="宋体" w:eastAsia="宋体" w:hAnsi="宋体" w:hint="eastAsia"/>
                <w:sz w:val="24"/>
              </w:rPr>
              <w:t xml:space="preserve"> 保险科技提升我国保险行业竞争力的</w:t>
            </w:r>
            <w:r w:rsidR="00696670">
              <w:rPr>
                <w:rFonts w:ascii="宋体" w:eastAsia="宋体" w:hAnsi="宋体" w:hint="eastAsia"/>
                <w:sz w:val="24"/>
              </w:rPr>
              <w:t>实证分析</w:t>
            </w:r>
          </w:p>
          <w:p w:rsidR="006E393E" w:rsidRDefault="00DF19D1" w:rsidP="00DF19D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4.1</w:t>
            </w:r>
            <w:r w:rsidR="006E393E">
              <w:rPr>
                <w:rFonts w:ascii="宋体" w:eastAsia="宋体" w:hAnsi="宋体" w:hint="eastAsia"/>
                <w:sz w:val="24"/>
              </w:rPr>
              <w:t xml:space="preserve"> 保险科技提升保险行业竞争力</w:t>
            </w:r>
            <w:r w:rsidR="006E393E" w:rsidRPr="006E393E">
              <w:rPr>
                <w:rFonts w:ascii="宋体" w:eastAsia="宋体" w:hAnsi="宋体" w:hint="eastAsia"/>
                <w:sz w:val="24"/>
              </w:rPr>
              <w:t>定性分析与研究假设</w:t>
            </w:r>
          </w:p>
          <w:p w:rsidR="006E393E" w:rsidRDefault="00DF19D1" w:rsidP="00DF19D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4.2 </w:t>
            </w:r>
            <w:r w:rsidR="006E393E">
              <w:rPr>
                <w:rFonts w:ascii="宋体" w:eastAsia="宋体" w:hAnsi="宋体" w:hint="eastAsia"/>
                <w:sz w:val="24"/>
              </w:rPr>
              <w:t>变量的选取与模型假定</w:t>
            </w:r>
          </w:p>
          <w:p w:rsidR="006E393E" w:rsidRDefault="00DF19D1" w:rsidP="00DF19D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4.3 </w:t>
            </w:r>
            <w:r w:rsidR="006E393E">
              <w:rPr>
                <w:rFonts w:ascii="宋体" w:eastAsia="宋体" w:hAnsi="宋体" w:hint="eastAsia"/>
                <w:sz w:val="24"/>
              </w:rPr>
              <w:t>变量相关性检验</w:t>
            </w:r>
          </w:p>
          <w:p w:rsidR="00DF19D1" w:rsidRDefault="006E393E" w:rsidP="006E393E">
            <w:pPr>
              <w:ind w:firstLineChars="350" w:firstLine="8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4.4 </w:t>
            </w:r>
            <w:r w:rsidR="00DF19D1">
              <w:rPr>
                <w:rFonts w:ascii="宋体" w:eastAsia="宋体" w:hAnsi="宋体" w:hint="eastAsia"/>
                <w:sz w:val="24"/>
              </w:rPr>
              <w:t>实证分析结果</w:t>
            </w:r>
          </w:p>
          <w:p w:rsidR="00DF19D1" w:rsidRDefault="00DF19D1" w:rsidP="00DF19D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第五章 结论及政策建议</w:t>
            </w:r>
          </w:p>
          <w:p w:rsidR="00DF19D1" w:rsidRDefault="00DF19D1" w:rsidP="00DF19D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5.1 研究结论</w:t>
            </w:r>
          </w:p>
          <w:p w:rsidR="00DF19D1" w:rsidRPr="00DF19D1" w:rsidRDefault="00DF19D1" w:rsidP="00DF19D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5.2 政策建议</w:t>
            </w:r>
          </w:p>
        </w:tc>
      </w:tr>
      <w:tr w:rsidR="00523947">
        <w:trPr>
          <w:trHeight w:val="2683"/>
          <w:jc w:val="center"/>
        </w:trPr>
        <w:tc>
          <w:tcPr>
            <w:tcW w:w="2362" w:type="dxa"/>
            <w:vAlign w:val="center"/>
          </w:tcPr>
          <w:p w:rsidR="00523947" w:rsidRDefault="008A109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523947" w:rsidRPr="008448AF" w:rsidRDefault="008448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[1]</w:t>
            </w:r>
            <w:r w:rsidRPr="008448AF">
              <w:rPr>
                <w:rFonts w:ascii="宋体" w:eastAsia="宋体" w:hAnsi="宋体" w:hint="eastAsia"/>
                <w:sz w:val="24"/>
              </w:rPr>
              <w:t>裴光</w:t>
            </w:r>
            <w:r w:rsidRPr="008448AF">
              <w:rPr>
                <w:rFonts w:ascii="宋体" w:eastAsia="宋体" w:hAnsi="宋体"/>
                <w:sz w:val="24"/>
              </w:rPr>
              <w:t>.中国保险业竞争力研究[M].北京：改革出版社，1992.1-12.</w:t>
            </w:r>
          </w:p>
          <w:p w:rsidR="008448AF" w:rsidRPr="008448AF" w:rsidRDefault="008448AF" w:rsidP="008448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[2]</w:t>
            </w:r>
            <w:r w:rsidRPr="008448AF">
              <w:rPr>
                <w:rFonts w:ascii="宋体" w:eastAsia="宋体" w:hAnsi="宋体" w:hint="eastAsia"/>
                <w:sz w:val="24"/>
              </w:rPr>
              <w:t>吴鹏</w:t>
            </w:r>
            <w:r w:rsidRPr="008448AF">
              <w:rPr>
                <w:rFonts w:ascii="宋体" w:eastAsia="宋体" w:hAnsi="宋体"/>
                <w:sz w:val="24"/>
              </w:rPr>
              <w:t>.论我国保险公司核心竞争力的构建[J]，上海保险报，2002（1）：36-38.</w:t>
            </w:r>
          </w:p>
          <w:p w:rsidR="008448AF" w:rsidRPr="008448AF" w:rsidRDefault="008448AF" w:rsidP="008448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[3]</w:t>
            </w:r>
            <w:r w:rsidRPr="008448AF">
              <w:rPr>
                <w:rFonts w:ascii="宋体" w:eastAsia="宋体" w:hAnsi="宋体" w:hint="eastAsia"/>
                <w:sz w:val="24"/>
              </w:rPr>
              <w:t>彭丽红</w:t>
            </w:r>
            <w:r w:rsidRPr="008448AF">
              <w:rPr>
                <w:rFonts w:ascii="宋体" w:eastAsia="宋体" w:hAnsi="宋体"/>
                <w:sz w:val="24"/>
              </w:rPr>
              <w:t>.企业竞争力-理论与实证研究[M],湖南，湖南人民出版社，2005：18-21.</w:t>
            </w:r>
          </w:p>
          <w:p w:rsidR="00CC280B" w:rsidRPr="008448AF" w:rsidRDefault="008448AF" w:rsidP="008448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[4]</w:t>
            </w:r>
            <w:r w:rsidRPr="008448AF">
              <w:rPr>
                <w:rFonts w:ascii="宋体" w:eastAsia="宋体" w:hAnsi="宋体" w:hint="eastAsia"/>
                <w:sz w:val="24"/>
              </w:rPr>
              <w:t>韩冰，基于因子分析的证券公司综合评价</w:t>
            </w:r>
            <w:r w:rsidRPr="008448AF">
              <w:rPr>
                <w:rFonts w:ascii="宋体" w:eastAsia="宋体" w:hAnsi="宋体"/>
                <w:sz w:val="24"/>
              </w:rPr>
              <w:t>[J]，商业研究，2004（13）：5-12.</w:t>
            </w:r>
          </w:p>
          <w:p w:rsidR="008448AF" w:rsidRPr="008448AF" w:rsidRDefault="008448AF" w:rsidP="008448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[5]</w:t>
            </w:r>
            <w:r w:rsidRPr="008448AF">
              <w:rPr>
                <w:rFonts w:ascii="宋体" w:eastAsia="宋体" w:hAnsi="宋体" w:hint="eastAsia"/>
                <w:sz w:val="24"/>
              </w:rPr>
              <w:t>夏梅风</w:t>
            </w:r>
            <w:r w:rsidRPr="008448AF">
              <w:rPr>
                <w:rFonts w:ascii="宋体" w:eastAsia="宋体" w:hAnsi="宋体"/>
                <w:sz w:val="24"/>
              </w:rPr>
              <w:t>. 论保险创新能力是保险公司的核心竞争力[J]. 保险研究, 2003</w:t>
            </w:r>
            <w:r w:rsidRPr="008448AF">
              <w:rPr>
                <w:rFonts w:ascii="宋体" w:eastAsia="宋体" w:hAnsi="宋体" w:hint="eastAsia"/>
                <w:sz w:val="24"/>
              </w:rPr>
              <w:t>（</w:t>
            </w:r>
            <w:r w:rsidRPr="008448AF">
              <w:rPr>
                <w:rFonts w:ascii="宋体" w:eastAsia="宋体" w:hAnsi="宋体"/>
                <w:sz w:val="24"/>
              </w:rPr>
              <w:t>7): 001.</w:t>
            </w:r>
          </w:p>
          <w:p w:rsidR="00CC280B" w:rsidRPr="00CC280B" w:rsidRDefault="008448AF" w:rsidP="00CC280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[6]</w:t>
            </w:r>
            <w:r w:rsidRPr="008448AF">
              <w:rPr>
                <w:rFonts w:ascii="宋体" w:eastAsia="宋体" w:hAnsi="宋体" w:hint="eastAsia"/>
                <w:sz w:val="24"/>
              </w:rPr>
              <w:t>姚惠</w:t>
            </w:r>
            <w:r w:rsidRPr="008448AF">
              <w:rPr>
                <w:rFonts w:ascii="宋体" w:eastAsia="宋体" w:hAnsi="宋体"/>
                <w:sz w:val="24"/>
              </w:rPr>
              <w:t>.我国保险行业专业人才需求分析[J]，湖北财税职业学院，2005(3)：39-45.</w:t>
            </w:r>
          </w:p>
          <w:p w:rsidR="008448AF" w:rsidRPr="00CC280B" w:rsidRDefault="00CC280B" w:rsidP="00CC280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Pr="00CC280B">
              <w:rPr>
                <w:rFonts w:ascii="宋体" w:eastAsia="宋体" w:hAnsi="宋体"/>
                <w:sz w:val="24"/>
              </w:rPr>
              <w:t>] 张连庆. 透明化时代,保险科技助力寿险核心竞争力构建[J]. 新金融世界,2018(4):26-27.</w:t>
            </w:r>
          </w:p>
          <w:p w:rsidR="00CC280B" w:rsidRPr="00CC280B" w:rsidRDefault="00CC280B" w:rsidP="00CC280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[8</w:t>
            </w:r>
            <w:r w:rsidRPr="00CC280B">
              <w:rPr>
                <w:rFonts w:ascii="宋体" w:eastAsia="宋体" w:hAnsi="宋体" w:hint="eastAsia"/>
                <w:sz w:val="24"/>
              </w:rPr>
              <w:t>]</w:t>
            </w:r>
            <w:hyperlink r:id="rId6" w:tgtFrame="_blank" w:history="1">
              <w:r w:rsidRPr="00CC280B">
                <w:rPr>
                  <w:rFonts w:ascii="宋体" w:eastAsia="宋体" w:hAnsi="宋体" w:hint="eastAsia"/>
                  <w:sz w:val="24"/>
                </w:rPr>
                <w:t>张宁[1];郭楠[2]</w:t>
              </w:r>
            </w:hyperlink>
            <w:r w:rsidRPr="00CC280B">
              <w:rPr>
                <w:rFonts w:ascii="宋体" w:eastAsia="宋体" w:hAnsi="宋体" w:hint="eastAsia"/>
                <w:sz w:val="24"/>
              </w:rPr>
              <w:t>.</w:t>
            </w:r>
            <w:hyperlink r:id="rId7" w:tgtFrame="_blank" w:history="1">
              <w:r w:rsidRPr="00CC280B">
                <w:rPr>
                  <w:rFonts w:ascii="宋体" w:eastAsia="宋体" w:hAnsi="宋体" w:hint="eastAsia"/>
                  <w:sz w:val="24"/>
                </w:rPr>
                <w:t>大数据背景下的寿险产品定价与创新研究</w:t>
              </w:r>
            </w:hyperlink>
            <w:r w:rsidRPr="00CC280B">
              <w:rPr>
                <w:rFonts w:ascii="宋体" w:eastAsia="宋体" w:hAnsi="宋体" w:hint="eastAsia"/>
                <w:sz w:val="24"/>
              </w:rPr>
              <w:t>[J].海南金融,2014,(1):</w:t>
            </w:r>
          </w:p>
          <w:p w:rsidR="00CC280B" w:rsidRPr="00CC280B" w:rsidRDefault="00CC280B" w:rsidP="00CC280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[9</w:t>
            </w:r>
            <w:r w:rsidRPr="00CC280B">
              <w:rPr>
                <w:rFonts w:ascii="宋体" w:eastAsia="宋体" w:hAnsi="宋体" w:hint="eastAsia"/>
                <w:sz w:val="24"/>
              </w:rPr>
              <w:t>]</w:t>
            </w:r>
            <w:hyperlink r:id="rId8" w:tgtFrame="_blank" w:history="1">
              <w:r w:rsidRPr="00CC280B">
                <w:rPr>
                  <w:rFonts w:ascii="宋体" w:eastAsia="宋体" w:hAnsi="宋体" w:hint="eastAsia"/>
                  <w:sz w:val="24"/>
                </w:rPr>
                <w:t>郭鑫媛</w:t>
              </w:r>
            </w:hyperlink>
            <w:r w:rsidRPr="00CC280B">
              <w:rPr>
                <w:rFonts w:ascii="宋体" w:eastAsia="宋体" w:hAnsi="宋体" w:hint="eastAsia"/>
                <w:sz w:val="24"/>
              </w:rPr>
              <w:t>.</w:t>
            </w:r>
            <w:hyperlink r:id="rId9" w:tgtFrame="_blank" w:history="1">
              <w:r w:rsidRPr="00CC280B">
                <w:rPr>
                  <w:rFonts w:ascii="宋体" w:eastAsia="宋体" w:hAnsi="宋体" w:hint="eastAsia"/>
                  <w:sz w:val="24"/>
                </w:rPr>
                <w:t>大数据背景下的寿险产品定价与创新研究</w:t>
              </w:r>
            </w:hyperlink>
            <w:r w:rsidRPr="00CC280B">
              <w:rPr>
                <w:rFonts w:ascii="宋体" w:eastAsia="宋体" w:hAnsi="宋体" w:hint="eastAsia"/>
                <w:sz w:val="24"/>
              </w:rPr>
              <w:t>[J].</w:t>
            </w:r>
            <w:hyperlink r:id="rId10" w:tgtFrame="_blank" w:history="1">
              <w:r w:rsidRPr="00CC280B">
                <w:rPr>
                  <w:rFonts w:ascii="宋体" w:eastAsia="宋体" w:hAnsi="宋体" w:hint="eastAsia"/>
                  <w:sz w:val="24"/>
                </w:rPr>
                <w:t>环球市场</w:t>
              </w:r>
            </w:hyperlink>
            <w:r w:rsidRPr="00CC280B">
              <w:rPr>
                <w:rFonts w:ascii="宋体" w:eastAsia="宋体" w:hAnsi="宋体" w:hint="eastAsia"/>
                <w:sz w:val="24"/>
              </w:rPr>
              <w:t>,2019,(1):14-15.</w:t>
            </w:r>
          </w:p>
        </w:tc>
      </w:tr>
    </w:tbl>
    <w:p w:rsidR="00523947" w:rsidRDefault="008A1095" w:rsidP="008A1095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523947" w:rsidRDefault="008A1095" w:rsidP="00523947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523947" w:rsidSect="0052394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57FE"/>
    <w:multiLevelType w:val="hybridMultilevel"/>
    <w:tmpl w:val="99782A78"/>
    <w:lvl w:ilvl="0" w:tplc="7DDE5432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9EBF8871"/>
    <w:rsid w:val="E9710308"/>
    <w:rsid w:val="000D616E"/>
    <w:rsid w:val="00111AC2"/>
    <w:rsid w:val="0019002F"/>
    <w:rsid w:val="001C3791"/>
    <w:rsid w:val="001D4ABC"/>
    <w:rsid w:val="001F2172"/>
    <w:rsid w:val="002865A3"/>
    <w:rsid w:val="00357445"/>
    <w:rsid w:val="0036478C"/>
    <w:rsid w:val="00365F91"/>
    <w:rsid w:val="003C1781"/>
    <w:rsid w:val="003C213C"/>
    <w:rsid w:val="00443422"/>
    <w:rsid w:val="00523947"/>
    <w:rsid w:val="00556D05"/>
    <w:rsid w:val="005C0971"/>
    <w:rsid w:val="00696670"/>
    <w:rsid w:val="006E393E"/>
    <w:rsid w:val="00761113"/>
    <w:rsid w:val="007965F6"/>
    <w:rsid w:val="007A32CC"/>
    <w:rsid w:val="00807310"/>
    <w:rsid w:val="008448AF"/>
    <w:rsid w:val="008A1095"/>
    <w:rsid w:val="008B7478"/>
    <w:rsid w:val="00925053"/>
    <w:rsid w:val="009B49D4"/>
    <w:rsid w:val="009D0666"/>
    <w:rsid w:val="00A01E60"/>
    <w:rsid w:val="00A32456"/>
    <w:rsid w:val="00AB5DD7"/>
    <w:rsid w:val="00CC280B"/>
    <w:rsid w:val="00DF19D1"/>
    <w:rsid w:val="00E5705C"/>
    <w:rsid w:val="00FA281C"/>
    <w:rsid w:val="00FF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DF19D1"/>
    <w:pPr>
      <w:ind w:firstLineChars="200" w:firstLine="420"/>
    </w:pPr>
  </w:style>
  <w:style w:type="character" w:customStyle="1" w:styleId="author">
    <w:name w:val="author"/>
    <w:basedOn w:val="a0"/>
    <w:rsid w:val="00CC280B"/>
  </w:style>
  <w:style w:type="character" w:styleId="a4">
    <w:name w:val="Hyperlink"/>
    <w:basedOn w:val="a0"/>
    <w:uiPriority w:val="99"/>
    <w:semiHidden/>
    <w:unhideWhenUsed/>
    <w:rsid w:val="00CC28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133.52.166:8000/https/PMYHPZLPM3RX635EMF4GCLUDN7XT6Z5PBI5UECSTMSTGCNBUGI4B/paper?q=%E4%BD%9C%E8%80%85:%22%E9%83%AD%E9%91%AB%E5%AA%9B%22" TargetMode="External"/><Relationship Id="rId3" Type="http://schemas.openxmlformats.org/officeDocument/2006/relationships/styles" Target="styles.xml"/><Relationship Id="rId7" Type="http://schemas.openxmlformats.org/officeDocument/2006/relationships/hyperlink" Target="http://124.133.52.166:8000/https/MRYHPZLPM3RX635EMF4GCLUDN7XT6Z5PBI5UECS3GZZDKMB3MNSA/periodical/CASS_100325227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4.133.52.166:8000/https/PMYHPZLPM3RX635EMF4GCLUDN7XT6Z5PBI5UECSTMSTGCNBUGI4B/paper?q=%E4%BD%9C%E8%80%85:%22%E5%BC%A0%E5%AE%81%5B1%5D;%E9%83%AD%E6%A5%A0%5B2%5D%2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4.133.52.166:8000/https/P75YPLUYMFYGMZLPM7TGC7DBF3SX85JPMNYAVN3TBIZXKZ5BGEZDM3A/perio/detail.do?perio_id=hqs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4.133.52.166:8000/https/MRYHPZLPM3RX635EMF4GCLUDN7XT6Z5PBI5UECS3GZZDKMB3MNSA/periodical/hqsc2019010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 Hang</dc:creator>
  <cp:lastModifiedBy>Administrator</cp:lastModifiedBy>
  <cp:revision>13</cp:revision>
  <dcterms:created xsi:type="dcterms:W3CDTF">2021-01-21T00:38:00Z</dcterms:created>
  <dcterms:modified xsi:type="dcterms:W3CDTF">2021-06-16T16:13:00Z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