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71040735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杨一丁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eastAsia="zh-CN"/>
              </w:rPr>
              <w:t>世界</w:t>
            </w:r>
            <w:r>
              <w:rPr>
                <w:rFonts w:ascii="宋体" w:hAnsi="宋体" w:eastAsia="宋体"/>
                <w:sz w:val="24"/>
              </w:rPr>
              <w:t>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+86 18515822357（国内）</w:t>
            </w:r>
          </w:p>
          <w:p>
            <w:pPr>
              <w:rPr>
                <w:rFonts w:hint="default" w:ascii="宋体" w:hAnsi="宋体" w:eastAsia="宋体"/>
                <w:sz w:val="24"/>
                <w:lang w:val="en-US" w:eastAsia="zh-CN"/>
              </w:rPr>
            </w:pPr>
            <w:r>
              <w:rPr>
                <w:rFonts w:hint="eastAsia" w:ascii="宋体" w:hAnsi="宋体" w:eastAsia="宋体"/>
                <w:sz w:val="24"/>
                <w:lang w:val="en-US" w:eastAsia="zh-CN"/>
              </w:rPr>
              <w:t>+47 92999922（挪威）</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yang_yiding@mfa.gov.cn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外交学院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外交部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二等秘书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hint="eastAsia" w:ascii="宋体" w:hAnsi="宋体" w:eastAsia="宋体"/>
                <w:sz w:val="24"/>
                <w:lang w:eastAsia="zh-CN"/>
              </w:rPr>
              <w:t>杨一丁</w:t>
            </w:r>
            <w:r>
              <w:rPr>
                <w:rFonts w:ascii="宋体" w:hAnsi="宋体" w:eastAsia="宋体"/>
                <w:sz w:val="24"/>
              </w:rPr>
              <w:t>，</w:t>
            </w:r>
            <w:r>
              <w:rPr>
                <w:rFonts w:hint="eastAsia" w:ascii="宋体" w:hAnsi="宋体" w:eastAsia="宋体"/>
                <w:sz w:val="24"/>
                <w:lang w:eastAsia="zh-CN"/>
              </w:rPr>
              <w:t>男，</w:t>
            </w:r>
            <w:r>
              <w:rPr>
                <w:rFonts w:ascii="宋体" w:hAnsi="宋体" w:eastAsia="宋体"/>
                <w:sz w:val="24"/>
              </w:rPr>
              <w:t>1986出生，</w:t>
            </w:r>
            <w:r>
              <w:rPr>
                <w:rFonts w:hint="eastAsia" w:ascii="宋体" w:hAnsi="宋体" w:eastAsia="宋体"/>
                <w:sz w:val="24"/>
                <w:lang w:eastAsia="zh-CN"/>
              </w:rPr>
              <w:t>籍贯河南郸城，</w:t>
            </w:r>
            <w:r>
              <w:rPr>
                <w:rFonts w:ascii="宋体" w:hAnsi="宋体" w:eastAsia="宋体"/>
                <w:sz w:val="24"/>
              </w:rPr>
              <w:t>2005-2009年就读于</w:t>
            </w:r>
            <w:r>
              <w:rPr>
                <w:rFonts w:hint="eastAsia" w:ascii="宋体" w:hAnsi="宋体" w:eastAsia="宋体"/>
                <w:sz w:val="24"/>
                <w:lang w:eastAsia="zh-CN"/>
              </w:rPr>
              <w:t>外交学院国际经济学院，获经济学学士学位</w:t>
            </w:r>
            <w:r>
              <w:rPr>
                <w:rFonts w:ascii="宋体" w:hAnsi="宋体" w:eastAsia="宋体"/>
                <w:sz w:val="24"/>
              </w:rPr>
              <w:t>。</w:t>
            </w:r>
          </w:p>
          <w:p>
            <w:pPr>
              <w:rPr>
                <w:rFonts w:hint="eastAsia" w:ascii="宋体" w:hAnsi="宋体" w:eastAsia="宋体"/>
                <w:sz w:val="24"/>
                <w:lang w:eastAsia="zh-CN"/>
              </w:rPr>
            </w:pPr>
            <w:r>
              <w:rPr>
                <w:rFonts w:hint="default" w:ascii="宋体" w:hAnsi="宋体" w:eastAsia="宋体"/>
                <w:sz w:val="24"/>
              </w:rPr>
              <w:t>2009年</w:t>
            </w:r>
            <w:r>
              <w:rPr>
                <w:rFonts w:hint="eastAsia" w:ascii="宋体" w:hAnsi="宋体" w:eastAsia="宋体"/>
                <w:sz w:val="24"/>
                <w:lang w:val="en-US" w:eastAsia="zh-CN"/>
              </w:rPr>
              <w:t>8</w:t>
            </w:r>
            <w:r>
              <w:rPr>
                <w:rFonts w:hint="default" w:ascii="宋体" w:hAnsi="宋体" w:eastAsia="宋体"/>
                <w:sz w:val="24"/>
              </w:rPr>
              <w:t>月-</w:t>
            </w:r>
            <w:r>
              <w:rPr>
                <w:rFonts w:hint="eastAsia" w:ascii="宋体" w:hAnsi="宋体" w:eastAsia="宋体"/>
                <w:sz w:val="24"/>
                <w:lang w:eastAsia="zh-CN"/>
              </w:rPr>
              <w:t>至今，就职于外交部，历任中国驻加拿大卡尔加里总领馆职员、科员、副领事</w:t>
            </w:r>
            <w:r>
              <w:rPr>
                <w:rFonts w:hint="eastAsia" w:ascii="宋体" w:hAnsi="宋体" w:eastAsia="宋体"/>
                <w:sz w:val="24"/>
                <w:lang w:val="en-US" w:eastAsia="zh-CN"/>
              </w:rPr>
              <w:t>;</w:t>
            </w:r>
            <w:r>
              <w:rPr>
                <w:rFonts w:hint="eastAsia" w:ascii="宋体" w:hAnsi="宋体" w:eastAsia="宋体"/>
                <w:sz w:val="24"/>
                <w:lang w:eastAsia="zh-CN"/>
              </w:rPr>
              <w:t>中国驻安提瓜和巴布达使馆随员、三等秘书</w:t>
            </w:r>
            <w:r>
              <w:rPr>
                <w:rFonts w:hint="eastAsia" w:ascii="宋体" w:hAnsi="宋体" w:eastAsia="宋体"/>
                <w:sz w:val="24"/>
                <w:lang w:val="en-US" w:eastAsia="zh-CN"/>
              </w:rPr>
              <w:t>;</w:t>
            </w:r>
            <w:r>
              <w:rPr>
                <w:rFonts w:hint="eastAsia" w:ascii="宋体" w:hAnsi="宋体" w:eastAsia="宋体"/>
                <w:sz w:val="24"/>
                <w:lang w:eastAsia="zh-CN"/>
              </w:rPr>
              <w:t>外交部涉外安全事务司三等秘书、二等秘书</w:t>
            </w:r>
            <w:r>
              <w:rPr>
                <w:rFonts w:hint="eastAsia" w:ascii="宋体" w:hAnsi="宋体" w:eastAsia="宋体"/>
                <w:sz w:val="24"/>
                <w:lang w:val="en-US" w:eastAsia="zh-CN"/>
              </w:rPr>
              <w:t>,</w:t>
            </w:r>
            <w:r>
              <w:rPr>
                <w:rFonts w:hint="eastAsia" w:ascii="宋体" w:hAnsi="宋体" w:eastAsia="宋体"/>
                <w:sz w:val="24"/>
                <w:lang w:eastAsia="zh-CN"/>
              </w:rPr>
              <w:t>现任中国驻挪威王国大使馆二等秘书、政治处主任。</w:t>
            </w:r>
          </w:p>
          <w:p>
            <w:pPr>
              <w:rPr>
                <w:rFonts w:hint="default"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b/>
                <w:bCs/>
                <w:sz w:val="24"/>
                <w:lang w:eastAsia="zh-CN"/>
              </w:rPr>
              <w:t>尚未发表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eastAsia="zh-CN"/>
              </w:rPr>
            </w:pPr>
            <w:r>
              <w:rPr>
                <w:rFonts w:hint="eastAsia" w:ascii="宋体" w:hAnsi="宋体" w:eastAsia="宋体"/>
                <w:sz w:val="24"/>
                <w:lang w:eastAsia="zh-CN"/>
              </w:rPr>
              <w:t>北欧国家绿色转型政策对就业等经济指标的影响及对我借鉴意义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eastAsia="zh-CN"/>
              </w:rPr>
              <w:t>习近平主席宣布中国将在</w:t>
            </w:r>
            <w:r>
              <w:rPr>
                <w:rFonts w:hint="eastAsia" w:ascii="宋体" w:hAnsi="宋体" w:eastAsia="宋体"/>
                <w:sz w:val="24"/>
                <w:lang w:val="en-US" w:eastAsia="zh-CN"/>
              </w:rPr>
              <w:t>2030年前后碳达峰，2060年实现碳中和，我基于气候变化背景下的绿色转型迫在眉睫。同时，也有观点认为，有关政策实施仍需慎重，过度追求减排可能导致经济下滑、失业激增，影响经济社会正常秩序。北欧国家基于自身政治、经济和社会条件，在建设低碳社会，实现绿色转型领域先行一步，通过采取征收碳排放税等各类政策，有效降低排放并保持经济持续发展。研究北欧国家限制碳排放等节能减排政策对包括就业率等在内的经济指标的影响，检视其内在关系，将为我综合施策实现绿色转型提供借鉴和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eastAsia="zh-CN"/>
              </w:rPr>
            </w:pPr>
            <w:r>
              <w:rPr>
                <w:rFonts w:hint="eastAsia" w:ascii="宋体" w:hAnsi="宋体" w:eastAsia="宋体"/>
                <w:sz w:val="24"/>
                <w:lang w:eastAsia="zh-CN"/>
              </w:rPr>
              <w:t>征收碳排放税是否会造成就业流失？——基于北欧经验的面板数据分析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绪论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1.1研究背景</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1.2研究意义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1.3研究思路</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1.4创新与不足</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文献综述与理论基础</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2.1基本概念</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2.2文献综述</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2.3发展经济学就业</w:t>
            </w:r>
            <w:bookmarkStart w:id="0" w:name="_GoBack"/>
            <w:bookmarkEnd w:id="0"/>
            <w:r>
              <w:rPr>
                <w:rFonts w:hint="eastAsia" w:ascii="宋体" w:hAnsi="宋体" w:eastAsia="宋体"/>
                <w:sz w:val="24"/>
                <w:lang w:val="en-US" w:eastAsia="zh-CN"/>
              </w:rPr>
              <w:t>理论介绍（ARDL模型、CGE模型）</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指标构建与样本选取</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3.1被解释变量</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3.2解释变量</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3.3控制变量</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3.4样本选取与数据来源</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实证分析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4.1变量预处理</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4.2模型设定</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4.3结果分析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4.4稳定性检验</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结论与建议</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5.1研究结论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5.2政策建议</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参考文献</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中国国家统计局，统计年鉴等</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北欧五国（挪威、瑞典、丹麦、芬兰、冰岛）统计局、税务局</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Norwegian Research Council</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CICERO:Center for International Climate Research文献库</w:t>
            </w:r>
          </w:p>
          <w:p>
            <w:pPr>
              <w:rPr>
                <w:rFonts w:hint="eastAsia" w:ascii="宋体" w:hAnsi="宋体" w:eastAsia="宋体" w:cs="宋体"/>
                <w:color w:val="000000"/>
                <w:kern w:val="0"/>
                <w:sz w:val="18"/>
                <w:szCs w:val="18"/>
                <w:lang w:eastAsia="zh-CN"/>
              </w:rPr>
            </w:pP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王春娟、徐孟：北极地区碳排放与能源消费、经济增长的关系研究，中国海洋大学学报社会科学版</w:t>
            </w:r>
            <w:r>
              <w:rPr>
                <w:rFonts w:hint="eastAsia" w:ascii="宋体" w:hAnsi="宋体" w:eastAsia="宋体" w:cs="宋体"/>
                <w:color w:val="000000"/>
                <w:kern w:val="0"/>
                <w:sz w:val="18"/>
                <w:szCs w:val="18"/>
                <w:lang w:val="en-US" w:eastAsia="zh-CN"/>
              </w:rPr>
              <w:t>2020年第5期。</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郭净，李静：挪威气候金融的研究与实践：来自国际气候与环境研究中心———奥斯陆的经验启示，金融理论探索2020年第2期。</w:t>
            </w:r>
          </w:p>
          <w:p>
            <w:pPr>
              <w:rPr>
                <w:rFonts w:hint="eastAsia"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王宁</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丹麦发展可再生能源的主要措施及启示</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经济纵横</w:t>
            </w:r>
            <w:r>
              <w:rPr>
                <w:rFonts w:hint="eastAsia" w:ascii="宋体" w:hAnsi="宋体" w:eastAsia="宋体" w:cs="宋体"/>
                <w:color w:val="000000"/>
                <w:kern w:val="0"/>
                <w:sz w:val="18"/>
                <w:szCs w:val="18"/>
                <w:lang w:val="en-US" w:eastAsia="zh-CN"/>
              </w:rPr>
              <w:t>2019年第2期。</w:t>
            </w:r>
          </w:p>
          <w:p>
            <w:p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巩潇泫</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G20 在全球气候治理中的表现分析</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东岳论丛2018</w:t>
            </w:r>
            <w:r>
              <w:rPr>
                <w:rFonts w:hint="eastAsia" w:ascii="宋体" w:hAnsi="宋体" w:eastAsia="宋体" w:cs="宋体"/>
                <w:color w:val="000000"/>
                <w:kern w:val="0"/>
                <w:sz w:val="18"/>
                <w:szCs w:val="18"/>
                <w:lang w:val="en-US" w:eastAsia="zh-CN"/>
              </w:rPr>
              <w:t>年第</w:t>
            </w:r>
            <w:r>
              <w:rPr>
                <w:rFonts w:hint="default" w:ascii="宋体" w:hAnsi="宋体" w:eastAsia="宋体" w:cs="宋体"/>
                <w:color w:val="000000"/>
                <w:kern w:val="0"/>
                <w:sz w:val="18"/>
                <w:szCs w:val="18"/>
                <w:lang w:val="en-US" w:eastAsia="zh-CN"/>
              </w:rPr>
              <w:t>9</w:t>
            </w:r>
            <w:r>
              <w:rPr>
                <w:rFonts w:hint="eastAsia" w:ascii="宋体" w:hAnsi="宋体" w:eastAsia="宋体" w:cs="宋体"/>
                <w:color w:val="000000"/>
                <w:kern w:val="0"/>
                <w:sz w:val="18"/>
                <w:szCs w:val="18"/>
                <w:lang w:val="en-US" w:eastAsia="zh-CN"/>
              </w:rPr>
              <w:t>期。</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史丹，李玉婷：北欧四国能源政策体系及借鉴意义，人民论坛学术前沿</w:t>
            </w:r>
            <w:r>
              <w:rPr>
                <w:rFonts w:hint="eastAsia" w:ascii="宋体" w:hAnsi="宋体" w:eastAsia="宋体" w:cs="宋体"/>
                <w:color w:val="000000"/>
                <w:kern w:val="0"/>
                <w:sz w:val="18"/>
                <w:szCs w:val="18"/>
                <w:lang w:val="en-US" w:eastAsia="zh-CN"/>
              </w:rPr>
              <w:t>2015年第1期。</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Päivi Luoma and others,Low-Carbon Circular Transition in the Nordics, Nordic Council of Ministers,2021.</w:t>
            </w:r>
          </w:p>
          <w:p>
            <w:pPr>
              <w:jc w:val="both"/>
              <w:rPr>
                <w:rFonts w:hint="eastAsia"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Weijiang Liu,Tingting Liu,Yangyang Li and Min Liu</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 xml:space="preserve">Recycling Carbon Tax under </w:t>
            </w:r>
          </w:p>
          <w:p>
            <w:pPr>
              <w:jc w:val="both"/>
              <w:rPr>
                <w:rFonts w:hint="eastAsia"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Different Energy Efficiency</w:t>
            </w:r>
            <w:r>
              <w:rPr>
                <w:rFonts w:hint="eastAsia" w:ascii="宋体" w:hAnsi="宋体" w:eastAsia="宋体" w:cs="宋体"/>
                <w:color w:val="000000"/>
                <w:kern w:val="0"/>
                <w:sz w:val="18"/>
                <w:szCs w:val="18"/>
                <w:lang w:val="en-US" w:eastAsia="zh-CN"/>
              </w:rPr>
              <w:t xml:space="preserve"> </w:t>
            </w:r>
            <w:r>
              <w:rPr>
                <w:rFonts w:hint="default" w:ascii="宋体" w:hAnsi="宋体" w:eastAsia="宋体" w:cs="宋体"/>
                <w:color w:val="000000"/>
                <w:kern w:val="0"/>
                <w:sz w:val="18"/>
                <w:szCs w:val="18"/>
                <w:lang w:val="en-US" w:eastAsia="zh-CN"/>
              </w:rPr>
              <w:t>Improvements</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A</w:t>
            </w:r>
            <w:r>
              <w:rPr>
                <w:rFonts w:hint="eastAsia" w:ascii="宋体" w:hAnsi="宋体" w:eastAsia="宋体" w:cs="宋体"/>
                <w:color w:val="000000"/>
                <w:kern w:val="0"/>
                <w:sz w:val="18"/>
                <w:szCs w:val="18"/>
                <w:lang w:val="en-US" w:eastAsia="zh-CN"/>
              </w:rPr>
              <w:t xml:space="preserve"> </w:t>
            </w:r>
            <w:r>
              <w:rPr>
                <w:rFonts w:hint="default" w:ascii="宋体" w:hAnsi="宋体" w:eastAsia="宋体" w:cs="宋体"/>
                <w:color w:val="000000"/>
                <w:kern w:val="0"/>
                <w:sz w:val="18"/>
                <w:szCs w:val="18"/>
                <w:lang w:val="en-US" w:eastAsia="zh-CN"/>
              </w:rPr>
              <w:t>CGE</w:t>
            </w:r>
            <w:r>
              <w:rPr>
                <w:rFonts w:hint="eastAsia" w:ascii="宋体" w:hAnsi="宋体" w:eastAsia="宋体" w:cs="宋体"/>
                <w:color w:val="000000"/>
                <w:kern w:val="0"/>
                <w:sz w:val="18"/>
                <w:szCs w:val="18"/>
                <w:lang w:val="en-US" w:eastAsia="zh-CN"/>
              </w:rPr>
              <w:t xml:space="preserve"> </w:t>
            </w:r>
            <w:r>
              <w:rPr>
                <w:rFonts w:hint="default" w:ascii="宋体" w:hAnsi="宋体" w:eastAsia="宋体" w:cs="宋体"/>
                <w:color w:val="000000"/>
                <w:kern w:val="0"/>
                <w:sz w:val="18"/>
                <w:szCs w:val="18"/>
                <w:lang w:val="en-US" w:eastAsia="zh-CN"/>
              </w:rPr>
              <w:t>Analysis of China</w:t>
            </w:r>
            <w:r>
              <w:rPr>
                <w:rFonts w:hint="eastAsia" w:ascii="宋体" w:hAnsi="宋体" w:eastAsia="宋体" w:cs="宋体"/>
                <w:color w:val="000000"/>
                <w:kern w:val="0"/>
                <w:sz w:val="18"/>
                <w:szCs w:val="18"/>
                <w:lang w:val="en-US" w:eastAsia="zh-CN"/>
              </w:rPr>
              <w:t>, Sustainability,2021(13).</w:t>
            </w:r>
          </w:p>
          <w:p>
            <w:pPr>
              <w:jc w:val="both"/>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Green transition in the Nordic region,Nordic Council of Ministers,2020.</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Creative and disruptive elements in Norway´s climate</w:t>
            </w:r>
            <w:r>
              <w:rPr>
                <w:rFonts w:hint="eastAsia" w:ascii="宋体" w:hAnsi="宋体" w:eastAsia="宋体" w:cs="宋体"/>
                <w:color w:val="000000"/>
                <w:kern w:val="0"/>
                <w:sz w:val="18"/>
                <w:szCs w:val="18"/>
                <w:lang w:val="en-US" w:eastAsia="zh-CN"/>
              </w:rPr>
              <w:t xml:space="preserve"> </w:t>
            </w:r>
            <w:r>
              <w:rPr>
                <w:rFonts w:hint="eastAsia" w:ascii="宋体" w:hAnsi="宋体" w:eastAsia="宋体" w:cs="宋体"/>
                <w:color w:val="000000"/>
                <w:kern w:val="0"/>
                <w:sz w:val="18"/>
                <w:szCs w:val="18"/>
                <w:lang w:eastAsia="zh-CN"/>
              </w:rPr>
              <w:t>policy mix: the small-state perspective</w:t>
            </w:r>
            <w:r>
              <w:rPr>
                <w:rFonts w:hint="eastAsia" w:ascii="宋体" w:hAnsi="宋体" w:eastAsia="宋体" w:cs="宋体"/>
                <w:color w:val="000000"/>
                <w:kern w:val="0"/>
                <w:sz w:val="18"/>
                <w:szCs w:val="18"/>
                <w:lang w:val="en-US" w:eastAsia="zh-CN"/>
              </w:rPr>
              <w:t>,Environmental Politics, 2019(6)</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A review o</w:t>
            </w:r>
            <w:r>
              <w:rPr>
                <w:rFonts w:hint="eastAsia" w:ascii="宋体" w:hAnsi="宋体" w:eastAsia="宋体" w:cs="宋体"/>
                <w:color w:val="000000"/>
                <w:kern w:val="0"/>
                <w:sz w:val="18"/>
                <w:szCs w:val="18"/>
                <w:lang w:val="en-US" w:eastAsia="zh-CN"/>
              </w:rPr>
              <w:t>n</w:t>
            </w:r>
            <w:r>
              <w:rPr>
                <w:rFonts w:hint="eastAsia" w:ascii="宋体" w:hAnsi="宋体" w:eastAsia="宋体" w:cs="宋体"/>
                <w:color w:val="000000"/>
                <w:kern w:val="0"/>
                <w:sz w:val="18"/>
                <w:szCs w:val="18"/>
                <w:lang w:eastAsia="zh-CN"/>
              </w:rPr>
              <w:t xml:space="preserve"> Transition</w:t>
            </w:r>
            <w:r>
              <w:rPr>
                <w:rFonts w:hint="eastAsia" w:ascii="宋体" w:hAnsi="宋体" w:eastAsia="宋体" w:cs="宋体"/>
                <w:color w:val="000000"/>
                <w:kern w:val="0"/>
                <w:sz w:val="18"/>
                <w:szCs w:val="18"/>
                <w:lang w:val="en-US" w:eastAsia="zh-CN"/>
              </w:rPr>
              <w:t xml:space="preserve"> </w:t>
            </w:r>
            <w:r>
              <w:rPr>
                <w:rFonts w:hint="eastAsia" w:ascii="宋体" w:hAnsi="宋体" w:eastAsia="宋体" w:cs="宋体"/>
                <w:color w:val="000000"/>
                <w:kern w:val="0"/>
                <w:sz w:val="18"/>
                <w:szCs w:val="18"/>
                <w:lang w:eastAsia="zh-CN"/>
              </w:rPr>
              <w:t>Management strategies</w:t>
            </w:r>
            <w:r>
              <w:rPr>
                <w:rFonts w:hint="eastAsia" w:ascii="宋体" w:hAnsi="宋体" w:eastAsia="宋体" w:cs="宋体"/>
                <w:color w:val="000000"/>
                <w:kern w:val="0"/>
                <w:sz w:val="18"/>
                <w:szCs w:val="18"/>
                <w:lang w:val="en-US" w:eastAsia="zh-CN"/>
              </w:rPr>
              <w:t>,OECD Green Growth Papers 2019(4).</w:t>
            </w:r>
          </w:p>
          <w:p>
            <w:pPr>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 xml:space="preserve">Benjamin K. Sovacool, </w:t>
            </w:r>
            <w:r>
              <w:rPr>
                <w:rFonts w:hint="default" w:ascii="宋体" w:hAnsi="宋体" w:eastAsia="宋体" w:cs="宋体"/>
                <w:color w:val="000000"/>
                <w:kern w:val="0"/>
                <w:sz w:val="18"/>
                <w:szCs w:val="18"/>
                <w:lang w:val="en-US" w:eastAsia="zh-CN"/>
              </w:rPr>
              <w:t>Contestation, contingency, and justice in the Nordic low-carbon energy</w:t>
            </w:r>
            <w:r>
              <w:rPr>
                <w:rFonts w:hint="eastAsia" w:ascii="宋体" w:hAnsi="宋体" w:eastAsia="宋体" w:cs="宋体"/>
                <w:color w:val="000000"/>
                <w:kern w:val="0"/>
                <w:sz w:val="18"/>
                <w:szCs w:val="18"/>
                <w:lang w:val="en-US" w:eastAsia="zh-CN"/>
              </w:rPr>
              <w:t xml:space="preserve"> </w:t>
            </w:r>
            <w:r>
              <w:rPr>
                <w:rFonts w:hint="default" w:ascii="宋体" w:hAnsi="宋体" w:eastAsia="宋体" w:cs="宋体"/>
                <w:color w:val="000000"/>
                <w:kern w:val="0"/>
                <w:sz w:val="18"/>
                <w:szCs w:val="18"/>
                <w:lang w:val="en-US" w:eastAsia="zh-CN"/>
              </w:rPr>
              <w:t>Transition</w:t>
            </w:r>
            <w:r>
              <w:rPr>
                <w:rFonts w:hint="eastAsia" w:ascii="宋体" w:hAnsi="宋体" w:eastAsia="宋体" w:cs="宋体"/>
                <w:color w:val="000000"/>
                <w:kern w:val="0"/>
                <w:sz w:val="18"/>
                <w:szCs w:val="18"/>
                <w:lang w:val="en-US" w:eastAsia="zh-CN"/>
              </w:rPr>
              <w:t>,2017(102)</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22094"/>
    <w:multiLevelType w:val="singleLevel"/>
    <w:tmpl w:val="79F22094"/>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7A34979"/>
    <w:rsid w:val="0E0F0A13"/>
    <w:rsid w:val="0FB16ABB"/>
    <w:rsid w:val="15BD1260"/>
    <w:rsid w:val="334F299C"/>
    <w:rsid w:val="3C34102B"/>
    <w:rsid w:val="3E88355F"/>
    <w:rsid w:val="4DF50664"/>
    <w:rsid w:val="4EF06E46"/>
    <w:rsid w:val="693B7935"/>
    <w:rsid w:val="6FE302E3"/>
    <w:rsid w:val="724D27A5"/>
    <w:rsid w:val="77CF6EC9"/>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26</TotalTime>
  <ScaleCrop>false</ScaleCrop>
  <LinksUpToDate>false</LinksUpToDate>
  <CharactersWithSpaces>471</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Administrator</cp:lastModifiedBy>
  <dcterms:modified xsi:type="dcterms:W3CDTF">2021-06-06T15:28:52Z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