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1109"/>
        <w:gridCol w:w="1112"/>
        <w:gridCol w:w="591"/>
        <w:gridCol w:w="861"/>
        <w:gridCol w:w="600"/>
        <w:gridCol w:w="561"/>
        <w:gridCol w:w="1016"/>
        <w:gridCol w:w="1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hint="eastAsia" w:ascii="宋体" w:hAnsi="宋体" w:eastAsia="宋体"/>
                <w:sz w:val="24"/>
              </w:rPr>
              <w:t>71040751</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ascii="宋体" w:hAnsi="宋体" w:eastAsia="宋体"/>
                <w:sz w:val="24"/>
              </w:rPr>
            </w:pPr>
            <w:r>
              <w:rPr>
                <w:rFonts w:hint="eastAsia" w:ascii="宋体" w:hAnsi="宋体" w:eastAsia="宋体"/>
                <w:sz w:val="24"/>
              </w:rPr>
              <w:t>裴茜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所在地区</w:t>
            </w:r>
          </w:p>
        </w:tc>
        <w:tc>
          <w:tcPr>
            <w:tcW w:w="2745" w:type="dxa"/>
            <w:gridSpan w:val="3"/>
            <w:vAlign w:val="center"/>
          </w:tcPr>
          <w:p>
            <w:pPr>
              <w:rPr>
                <w:rFonts w:ascii="宋体" w:hAnsi="宋体" w:eastAsia="宋体"/>
                <w:sz w:val="24"/>
              </w:rPr>
            </w:pPr>
            <w:r>
              <w:rPr>
                <w:rFonts w:hint="eastAsia" w:ascii="宋体" w:hAnsi="宋体" w:eastAsia="宋体"/>
                <w:sz w:val="24"/>
              </w:rPr>
              <w:t>深圳</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联系电话</w:t>
            </w:r>
          </w:p>
        </w:tc>
        <w:tc>
          <w:tcPr>
            <w:tcW w:w="2745" w:type="dxa"/>
            <w:gridSpan w:val="3"/>
            <w:vAlign w:val="center"/>
          </w:tcPr>
          <w:p>
            <w:pPr>
              <w:rPr>
                <w:rFonts w:ascii="宋体" w:hAnsi="宋体" w:eastAsia="宋体"/>
                <w:sz w:val="24"/>
              </w:rPr>
            </w:pPr>
            <w:r>
              <w:rPr>
                <w:rFonts w:hint="eastAsia" w:ascii="宋体" w:hAnsi="宋体" w:eastAsia="宋体"/>
                <w:sz w:val="24"/>
              </w:rPr>
              <w:t>13682503220</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rPr>
                <w:rFonts w:hint="eastAsia" w:ascii="宋体" w:hAnsi="宋体" w:eastAsia="宋体"/>
                <w:sz w:val="24"/>
              </w:rPr>
              <w:t>121477868@qq.com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本科毕业院校</w:t>
            </w:r>
          </w:p>
        </w:tc>
        <w:tc>
          <w:tcPr>
            <w:tcW w:w="2745" w:type="dxa"/>
            <w:gridSpan w:val="3"/>
            <w:vAlign w:val="center"/>
          </w:tcPr>
          <w:p>
            <w:pPr>
              <w:rPr>
                <w:rFonts w:ascii="宋体" w:hAnsi="宋体" w:eastAsia="宋体"/>
                <w:sz w:val="24"/>
              </w:rPr>
            </w:pPr>
            <w:r>
              <w:rPr>
                <w:rFonts w:hint="eastAsia" w:ascii="宋体" w:hAnsi="宋体" w:eastAsia="宋体"/>
                <w:sz w:val="24"/>
              </w:rPr>
              <w:t>中南民族大学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ascii="宋体" w:hAnsi="宋体" w:eastAsia="宋体"/>
                <w:sz w:val="24"/>
              </w:rPr>
            </w:pPr>
            <w:r>
              <w:rPr>
                <w:rFonts w:hint="eastAsia" w:ascii="宋体" w:hAnsi="宋体" w:eastAsia="宋体"/>
                <w:sz w:val="24"/>
              </w:rPr>
              <w:t>法学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工作单位</w:t>
            </w:r>
          </w:p>
        </w:tc>
        <w:tc>
          <w:tcPr>
            <w:tcW w:w="2745" w:type="dxa"/>
            <w:gridSpan w:val="3"/>
            <w:vAlign w:val="center"/>
          </w:tcPr>
          <w:p>
            <w:pPr>
              <w:rPr>
                <w:rFonts w:ascii="宋体" w:hAnsi="宋体" w:eastAsia="宋体"/>
                <w:sz w:val="24"/>
              </w:rPr>
            </w:pPr>
            <w:r>
              <w:rPr>
                <w:rFonts w:hint="eastAsia" w:ascii="宋体" w:hAnsi="宋体" w:eastAsia="宋体"/>
                <w:sz w:val="24"/>
              </w:rPr>
              <w:t>深圳市雄帝科技股份有限公司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ascii="宋体" w:hAnsi="宋体" w:eastAsia="宋体"/>
                <w:sz w:val="24"/>
              </w:rPr>
            </w:pPr>
            <w:r>
              <w:rPr>
                <w:rFonts w:hint="eastAsia" w:ascii="宋体" w:hAnsi="宋体" w:eastAsia="宋体"/>
                <w:sz w:val="24"/>
              </w:rPr>
              <w:t>区域销售总监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2" w:type="dxa"/>
            <w:gridSpan w:val="8"/>
            <w:vAlign w:val="center"/>
          </w:tcPr>
          <w:p>
            <w:pPr>
              <w:rPr>
                <w:rFonts w:ascii="宋体" w:hAnsi="宋体" w:eastAsia="宋体"/>
                <w:sz w:val="24"/>
              </w:rPr>
            </w:pPr>
            <w:r>
              <w:rPr>
                <w:rFonts w:hint="eastAsia" w:ascii="宋体" w:hAnsi="宋体" w:eastAsia="宋体"/>
                <w:sz w:val="24"/>
              </w:rPr>
              <w:t>2009-2011年就职于湖北宜昌市政法委</w:t>
            </w:r>
          </w:p>
          <w:p>
            <w:pPr>
              <w:rPr>
                <w:rFonts w:ascii="宋体" w:hAnsi="宋体" w:eastAsia="宋体"/>
                <w:sz w:val="24"/>
              </w:rPr>
            </w:pPr>
            <w:r>
              <w:rPr>
                <w:rFonts w:hint="eastAsia" w:ascii="宋体" w:hAnsi="宋体" w:eastAsia="宋体"/>
                <w:sz w:val="24"/>
              </w:rPr>
              <w:t>2011-2012年就职于深圳市明泰智能技术有限公司</w:t>
            </w:r>
          </w:p>
          <w:p>
            <w:pPr>
              <w:rPr>
                <w:rFonts w:ascii="宋体" w:hAnsi="宋体" w:eastAsia="宋体"/>
                <w:sz w:val="24"/>
              </w:rPr>
            </w:pPr>
            <w:r>
              <w:rPr>
                <w:rFonts w:hint="eastAsia" w:ascii="宋体" w:hAnsi="宋体" w:eastAsia="宋体"/>
                <w:sz w:val="24"/>
              </w:rPr>
              <w:t>2012-至今就职于深圳市雄帝科技股份有限公司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填：是，</w:t>
            </w:r>
            <w:r>
              <w:rPr>
                <w:rFonts w:ascii="宋体" w:hAnsi="宋体" w:eastAsia="宋体"/>
                <w:sz w:val="24"/>
              </w:rPr>
              <w:t xml:space="preserve"> </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填：是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69" w:type="dxa"/>
            <w:vAlign w:val="center"/>
          </w:tcPr>
          <w:p>
            <w:pPr>
              <w:jc w:val="center"/>
              <w:rPr>
                <w:rFonts w:ascii="宋体" w:hAnsi="宋体" w:eastAsia="宋体"/>
                <w:sz w:val="24"/>
              </w:rPr>
            </w:pPr>
            <w:r>
              <w:rPr>
                <w:rFonts w:hint="eastAsia" w:ascii="宋体" w:hAnsi="宋体" w:eastAsia="宋体"/>
                <w:sz w:val="24"/>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发表文章题目</w:t>
            </w:r>
          </w:p>
        </w:tc>
        <w:tc>
          <w:tcPr>
            <w:tcW w:w="6982" w:type="dxa"/>
            <w:gridSpan w:val="8"/>
            <w:vAlign w:val="center"/>
          </w:tcPr>
          <w:p>
            <w:pPr>
              <w:rPr>
                <w:rFonts w:ascii="宋体" w:hAnsi="宋体" w:eastAsia="宋体"/>
                <w:sz w:val="24"/>
              </w:rPr>
            </w:pPr>
            <w:r>
              <w:rPr>
                <w:rFonts w:hint="eastAsia" w:ascii="宋体" w:hAnsi="宋体" w:eastAsia="宋体"/>
                <w:sz w:val="24"/>
              </w:rPr>
              <w:t>浅谈税制改革后个人所得税纳税筹划问题研究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发表文章刊物</w:t>
            </w:r>
          </w:p>
        </w:tc>
        <w:tc>
          <w:tcPr>
            <w:tcW w:w="6982" w:type="dxa"/>
            <w:gridSpan w:val="8"/>
            <w:vAlign w:val="center"/>
          </w:tcPr>
          <w:p>
            <w:pPr>
              <w:rPr>
                <w:rFonts w:ascii="宋体" w:hAnsi="宋体" w:eastAsia="宋体"/>
                <w:sz w:val="24"/>
              </w:rPr>
            </w:pPr>
            <w:r>
              <w:rPr>
                <w:rFonts w:hint="eastAsia" w:ascii="宋体" w:hAnsi="宋体" w:eastAsia="宋体"/>
                <w:sz w:val="24"/>
              </w:rPr>
              <w:t>《现代营销》2021年第07期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2" w:type="dxa"/>
            <w:gridSpan w:val="8"/>
            <w:vAlign w:val="center"/>
          </w:tcPr>
          <w:p>
            <w:pPr>
              <w:rPr>
                <w:rFonts w:ascii="宋体" w:hAnsi="宋体" w:eastAsia="宋体"/>
                <w:sz w:val="24"/>
              </w:rPr>
            </w:pPr>
            <w:r>
              <w:rPr>
                <w:rFonts w:hint="eastAsia" w:ascii="宋体" w:hAnsi="宋体" w:eastAsia="宋体"/>
                <w:sz w:val="24"/>
              </w:rPr>
              <w:t>随着人们收入的增加和法律意识的提高，个人所得税也在逐渐增多，如何在其所得税的背景下完善新税制，税收是每个公民必须履行的义务。个人所得税的税率在税收上有所提高，特别是税制调整后。在税收征管问题上要多加考虑，注重维护当地居民的切身利益，减轻税收负担，责成纳税人在合理的框架内尽最大努力。减轻税收负担，注重收入最大化。本文首先介绍了税收筹划的概念，详细阐述了新税制的变化，其次在税制改革的背景下，阐明了税收筹划的必要性、个人所得税以及在税制改革背景下个人所得税筹划的指导思想和要求，重新制定个人所得税方案，最后提出个人所得税方案并提出解决问题的对策。</w:t>
            </w:r>
          </w:p>
        </w:tc>
      </w:tr>
    </w:tbl>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51" w:type="dxa"/>
            <w:vAlign w:val="center"/>
          </w:tcPr>
          <w:p>
            <w:pPr>
              <w:rPr>
                <w:rFonts w:ascii="宋体" w:hAnsi="宋体" w:eastAsia="宋体"/>
                <w:sz w:val="24"/>
              </w:rPr>
            </w:pPr>
            <w:r>
              <w:rPr>
                <w:rFonts w:ascii="宋体" w:hAnsi="宋体" w:eastAsia="宋体" w:cs="宋体"/>
                <w:sz w:val="24"/>
                <w:szCs w:val="24"/>
              </w:rPr>
              <w:t>绿色壁垒对我国</w:t>
            </w:r>
            <w:r>
              <w:rPr>
                <w:rFonts w:hint="eastAsia" w:ascii="宋体" w:hAnsi="宋体" w:eastAsia="宋体" w:cs="宋体"/>
                <w:sz w:val="24"/>
                <w:szCs w:val="24"/>
                <w:lang w:eastAsia="zh-CN"/>
              </w:rPr>
              <w:t>福建省</w:t>
            </w:r>
            <w:r>
              <w:rPr>
                <w:rFonts w:ascii="宋体" w:hAnsi="宋体" w:eastAsia="宋体" w:cs="宋体"/>
                <w:sz w:val="24"/>
                <w:szCs w:val="24"/>
              </w:rPr>
              <w:t>茶叶出口的影响</w:t>
            </w:r>
            <w:r>
              <w:rPr>
                <w:rFonts w:hint="eastAsia" w:ascii="宋体" w:hAnsi="宋体" w:eastAsia="宋体" w:cs="宋体"/>
                <w:sz w:val="24"/>
                <w:szCs w:val="24"/>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7151" w:type="dxa"/>
            <w:vAlign w:val="center"/>
          </w:tcPr>
          <w:p>
            <w:pPr>
              <w:rPr>
                <w:rFonts w:ascii="宋体" w:hAnsi="宋体" w:eastAsia="宋体"/>
                <w:sz w:val="24"/>
              </w:rPr>
            </w:pPr>
            <w:r>
              <w:rPr>
                <w:rFonts w:hint="eastAsia" w:ascii="宋体" w:hAnsi="宋体" w:eastAsia="宋体"/>
                <w:sz w:val="24"/>
                <w:lang w:val="en-US" w:eastAsia="zh-CN"/>
              </w:rPr>
              <w:t>绿色贸易壁垒的建立给我国的茶叶生产以及出口贸易带来了严重的灾难，中国茶叶出口企业遭受着难以克服的危机。因此，对我国茶叶贸易壁垒进行理论和实证研究，了解绿色贸易壁垒的发展趋势，有助于促进茶叶出口贸易健康发展，占领国际市场，促进我国茶叶出口结构的改善，优化资源配置，填补我国在茶叶贸易壁垒理论研究方面的空缺，对中国茶叶出口企业有着很大的实践指导意义。本文研究思路以中国福建省茶叶出口贸易现状为例进行分析，对绿色贸易壁垒理论研究结合实证分析总结出相关结论与政策建议。理论分析部分阐述了绿色壁垒形成同环境保护意识崛起密不可分，同时新贸易保护主义也成为绿色壁垒形成的理论基础，这正反应了绿色壁垒的隐蔽性特点。绿色贸易壁垒的形成机制主要有国际社会环保意识的完善、新贸易保护主义的需要、绿色消费取向的形成、各国间贸易博弈以及每个国际自身科技水平差异形成。绿色壁垒的作用机制首先表现为数量控制机制，制定地区的高标准将未达标商品排除在外从而对进口商品进行数量控制；绿色壁垒的价格控制机制形成于高标准增加了出口商在产品生产检测包装等各方面的成本，从而使得出口商品价格上涨；绿色壁垒的控制机制整体是一个动态抑制的过程，标准在不断调整中，对于进出口国而言，打通绿色壁垒是国家间贸易利益的重新分配与调整。本文将福建省作为案例进行分析，福建省是茶叶生产和出口大省，但茶叶出口结构不够合理，种类单一，良种茶品类欠缺，生产技术标准落后，因此发达国家对福建茶叶的绿色壁垒表现为逐年增强，对福建茶叶出口影响很大。鉴于以上情况，本文选取的了福建近 15 年的茶叶出口数据，以农残限制项目数和农残限量值标准测量绿色贸易壁垒对福建省茶叶出口结构的影响，选择日本、美国、英国、法国和德国的茶叶出口份额当作分析样本，实证分析结果表明进口国农药残留标准提高阻碍福建茶叶向发达国家出口，进口地区对农药残留限制项目数增加，同样限制出口份额。基于以上分析提出了对福建省乃至全国茶叶出口的政策建议，深化茶叶出口产业链、优化茶叶出口结构、完善茶叶生产标准化，提升检测标准体体系这些建议可为我国茶叶出口行业提供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51" w:type="dxa"/>
            <w:vAlign w:val="center"/>
          </w:tcPr>
          <w:p>
            <w:pPr>
              <w:rPr>
                <w:rFonts w:ascii="宋体" w:hAnsi="宋体" w:eastAsia="宋体"/>
                <w:sz w:val="24"/>
              </w:rPr>
            </w:pPr>
            <w:r>
              <w:rPr>
                <w:rFonts w:ascii="宋体" w:hAnsi="宋体" w:eastAsia="宋体" w:cs="宋体"/>
                <w:sz w:val="24"/>
                <w:szCs w:val="24"/>
              </w:rPr>
              <w:t>绿色壁垒对我国</w:t>
            </w:r>
            <w:r>
              <w:rPr>
                <w:rFonts w:hint="eastAsia" w:ascii="宋体" w:hAnsi="宋体" w:eastAsia="宋体" w:cs="宋体"/>
                <w:sz w:val="24"/>
                <w:szCs w:val="24"/>
                <w:lang w:eastAsia="zh-CN"/>
              </w:rPr>
              <w:t>福建省</w:t>
            </w:r>
            <w:r>
              <w:rPr>
                <w:rFonts w:ascii="宋体" w:hAnsi="宋体" w:eastAsia="宋体" w:cs="宋体"/>
                <w:sz w:val="24"/>
                <w:szCs w:val="24"/>
              </w:rPr>
              <w:t>茶叶出口的影响</w:t>
            </w:r>
            <w:r>
              <w:rPr>
                <w:rFonts w:hint="eastAsia" w:ascii="宋体" w:hAnsi="宋体" w:eastAsia="宋体" w:cs="宋体"/>
                <w:sz w:val="24"/>
                <w:szCs w:val="24"/>
                <w:lang w:eastAsia="zh-CN"/>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8"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拟定学位论文提纲</w:t>
            </w:r>
          </w:p>
        </w:tc>
        <w:tc>
          <w:tcPr>
            <w:tcW w:w="7151" w:type="dxa"/>
            <w:vAlign w:val="center"/>
          </w:tcPr>
          <w:p>
            <w:pPr>
              <w:numPr>
                <w:ilvl w:val="0"/>
                <w:numId w:val="0"/>
              </w:numPr>
              <w:spacing w:line="360" w:lineRule="auto"/>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第1章 绪论</w:t>
            </w:r>
          </w:p>
          <w:p>
            <w:pPr>
              <w:numPr>
                <w:ilvl w:val="0"/>
                <w:numId w:val="0"/>
              </w:numPr>
              <w:spacing w:line="360" w:lineRule="auto"/>
              <w:ind w:firstLine="420" w:firstLineChars="200"/>
              <w:jc w:val="both"/>
              <w:rPr>
                <w:rFonts w:hint="eastAsia" w:ascii="宋体" w:hAnsi="宋体" w:eastAsia="宋体" w:cs="宋体"/>
                <w:lang w:val="en-US" w:eastAsia="zh-CN"/>
              </w:rPr>
            </w:pPr>
            <w:r>
              <w:rPr>
                <w:rFonts w:hint="eastAsia" w:ascii="宋体" w:hAnsi="宋体" w:eastAsia="宋体" w:cs="宋体"/>
                <w:lang w:val="en-US" w:eastAsia="zh-CN"/>
              </w:rPr>
              <w:t>1.1 研究背景及意义</w:t>
            </w:r>
          </w:p>
          <w:p>
            <w:pPr>
              <w:numPr>
                <w:ilvl w:val="0"/>
                <w:numId w:val="0"/>
              </w:numPr>
              <w:spacing w:line="360" w:lineRule="auto"/>
              <w:ind w:firstLine="420" w:firstLineChars="200"/>
              <w:jc w:val="both"/>
              <w:rPr>
                <w:rFonts w:hint="eastAsia" w:ascii="宋体" w:hAnsi="宋体" w:eastAsia="宋体" w:cs="宋体"/>
                <w:lang w:val="en-US" w:eastAsia="zh-CN"/>
              </w:rPr>
            </w:pPr>
            <w:r>
              <w:rPr>
                <w:rFonts w:hint="eastAsia" w:ascii="宋体" w:hAnsi="宋体" w:eastAsia="宋体" w:cs="宋体"/>
                <w:lang w:val="en-US" w:eastAsia="zh-CN"/>
              </w:rPr>
              <w:t>1.2 国内外研究综述</w:t>
            </w:r>
          </w:p>
          <w:p>
            <w:pPr>
              <w:numPr>
                <w:ilvl w:val="0"/>
                <w:numId w:val="0"/>
              </w:numPr>
              <w:spacing w:line="360" w:lineRule="auto"/>
              <w:ind w:firstLine="420" w:firstLineChars="200"/>
              <w:jc w:val="both"/>
              <w:rPr>
                <w:rFonts w:hint="eastAsia" w:ascii="宋体" w:hAnsi="宋体" w:eastAsia="宋体" w:cs="宋体"/>
                <w:lang w:val="en-US" w:eastAsia="zh-CN"/>
              </w:rPr>
            </w:pPr>
            <w:r>
              <w:rPr>
                <w:rFonts w:hint="eastAsia" w:ascii="宋体" w:hAnsi="宋体" w:eastAsia="宋体" w:cs="宋体"/>
                <w:lang w:val="en-US" w:eastAsia="zh-CN"/>
              </w:rPr>
              <w:t>1.3 研究思路与方法</w:t>
            </w:r>
          </w:p>
          <w:p>
            <w:pPr>
              <w:numPr>
                <w:ilvl w:val="0"/>
                <w:numId w:val="0"/>
              </w:numPr>
              <w:spacing w:line="360" w:lineRule="auto"/>
              <w:ind w:firstLine="420" w:firstLineChars="200"/>
              <w:jc w:val="both"/>
              <w:rPr>
                <w:rFonts w:hint="eastAsia" w:ascii="宋体" w:hAnsi="宋体" w:eastAsia="宋体" w:cs="宋体"/>
                <w:lang w:val="en-US" w:eastAsia="zh-CN"/>
              </w:rPr>
            </w:pPr>
            <w:r>
              <w:rPr>
                <w:rFonts w:hint="eastAsia" w:ascii="宋体" w:hAnsi="宋体" w:eastAsia="宋体" w:cs="宋体"/>
                <w:lang w:val="en-US" w:eastAsia="zh-CN"/>
              </w:rPr>
              <w:t>1.4 本文的创新与不足</w:t>
            </w:r>
          </w:p>
          <w:p>
            <w:pPr>
              <w:numPr>
                <w:ilvl w:val="0"/>
                <w:numId w:val="0"/>
              </w:numPr>
              <w:spacing w:line="360" w:lineRule="auto"/>
              <w:jc w:val="both"/>
              <w:rPr>
                <w:rFonts w:hint="eastAsia" w:ascii="宋体" w:hAnsi="宋体" w:eastAsia="宋体" w:cs="宋体"/>
                <w:lang w:val="en-US" w:eastAsia="zh-CN"/>
              </w:rPr>
            </w:pPr>
            <w:r>
              <w:rPr>
                <w:rFonts w:hint="eastAsia" w:ascii="宋体" w:hAnsi="宋体" w:eastAsia="宋体" w:cs="宋体"/>
                <w:lang w:val="en-US" w:eastAsia="zh-CN"/>
              </w:rPr>
              <w:t>第2章 环境保护与绿色壁垒的理论分析</w:t>
            </w:r>
          </w:p>
          <w:p>
            <w:pPr>
              <w:numPr>
                <w:ilvl w:val="0"/>
                <w:numId w:val="0"/>
              </w:numPr>
              <w:spacing w:line="360" w:lineRule="auto"/>
              <w:ind w:firstLine="420" w:firstLineChars="200"/>
              <w:jc w:val="both"/>
              <w:rPr>
                <w:rFonts w:hint="eastAsia" w:ascii="宋体" w:hAnsi="宋体" w:eastAsia="宋体" w:cs="宋体"/>
                <w:lang w:val="en-US" w:eastAsia="zh-CN"/>
              </w:rPr>
            </w:pPr>
            <w:r>
              <w:rPr>
                <w:rFonts w:hint="eastAsia" w:ascii="宋体" w:hAnsi="宋体" w:eastAsia="宋体" w:cs="宋体"/>
                <w:lang w:val="en-US" w:eastAsia="zh-CN"/>
              </w:rPr>
              <w:t>2.1 环境保护与贸易</w:t>
            </w:r>
          </w:p>
          <w:p>
            <w:pPr>
              <w:numPr>
                <w:ilvl w:val="0"/>
                <w:numId w:val="0"/>
              </w:numPr>
              <w:spacing w:line="360" w:lineRule="auto"/>
              <w:ind w:firstLine="420" w:firstLineChars="200"/>
              <w:jc w:val="both"/>
              <w:rPr>
                <w:rFonts w:hint="eastAsia" w:ascii="宋体" w:hAnsi="宋体" w:eastAsia="宋体" w:cs="宋体"/>
                <w:lang w:val="en-US" w:eastAsia="zh-CN"/>
              </w:rPr>
            </w:pPr>
            <w:r>
              <w:rPr>
                <w:rFonts w:hint="eastAsia" w:ascii="宋体" w:hAnsi="宋体" w:eastAsia="宋体" w:cs="宋体"/>
                <w:lang w:val="en-US" w:eastAsia="zh-CN"/>
              </w:rPr>
              <w:t>2.2 绿色壁垒</w:t>
            </w:r>
          </w:p>
          <w:p>
            <w:pPr>
              <w:numPr>
                <w:ilvl w:val="0"/>
                <w:numId w:val="0"/>
              </w:numPr>
              <w:spacing w:line="360" w:lineRule="auto"/>
              <w:ind w:firstLine="420" w:firstLineChars="200"/>
              <w:jc w:val="both"/>
              <w:rPr>
                <w:rFonts w:hint="default" w:ascii="宋体" w:hAnsi="宋体" w:eastAsia="宋体" w:cs="宋体"/>
                <w:lang w:val="en-US" w:eastAsia="zh-CN"/>
              </w:rPr>
            </w:pPr>
            <w:r>
              <w:rPr>
                <w:rFonts w:hint="eastAsia" w:ascii="宋体" w:hAnsi="宋体" w:eastAsia="宋体" w:cs="宋体"/>
                <w:lang w:val="en-US" w:eastAsia="zh-CN"/>
              </w:rPr>
              <w:t>2.3 新贸易保护主义与绿色壁垒</w:t>
            </w:r>
          </w:p>
          <w:p>
            <w:pPr>
              <w:numPr>
                <w:ilvl w:val="0"/>
                <w:numId w:val="0"/>
              </w:numPr>
              <w:spacing w:line="360" w:lineRule="auto"/>
              <w:jc w:val="both"/>
              <w:rPr>
                <w:rFonts w:hint="eastAsia" w:ascii="宋体" w:hAnsi="宋体" w:eastAsia="宋体" w:cs="宋体"/>
                <w:lang w:val="en-US" w:eastAsia="zh-CN"/>
              </w:rPr>
            </w:pPr>
            <w:r>
              <w:rPr>
                <w:rFonts w:hint="eastAsia" w:ascii="宋体" w:hAnsi="宋体" w:eastAsia="宋体" w:cs="宋体"/>
                <w:lang w:val="en-US" w:eastAsia="zh-CN"/>
              </w:rPr>
              <w:t>第3章 绿色壁垒保护机理分析</w:t>
            </w:r>
          </w:p>
          <w:p>
            <w:pPr>
              <w:numPr>
                <w:ilvl w:val="0"/>
                <w:numId w:val="0"/>
              </w:numPr>
              <w:spacing w:line="360" w:lineRule="auto"/>
              <w:ind w:firstLine="420" w:firstLineChars="200"/>
              <w:jc w:val="both"/>
              <w:rPr>
                <w:rFonts w:hint="eastAsia" w:ascii="宋体" w:hAnsi="宋体" w:eastAsia="宋体" w:cs="宋体"/>
                <w:lang w:val="en-US" w:eastAsia="zh-CN"/>
              </w:rPr>
            </w:pPr>
            <w:r>
              <w:rPr>
                <w:rFonts w:hint="eastAsia" w:ascii="宋体" w:hAnsi="宋体" w:eastAsia="宋体" w:cs="宋体"/>
                <w:lang w:val="en-US" w:eastAsia="zh-CN"/>
              </w:rPr>
              <w:t>3.1 绿色壁垒的形成机制</w:t>
            </w:r>
          </w:p>
          <w:p>
            <w:pPr>
              <w:numPr>
                <w:ilvl w:val="0"/>
                <w:numId w:val="0"/>
              </w:numPr>
              <w:spacing w:line="360" w:lineRule="auto"/>
              <w:ind w:firstLine="420" w:firstLineChars="200"/>
              <w:jc w:val="both"/>
              <w:rPr>
                <w:rFonts w:hint="eastAsia" w:ascii="宋体" w:hAnsi="宋体" w:eastAsia="宋体" w:cs="宋体"/>
                <w:lang w:val="en-US" w:eastAsia="zh-CN"/>
              </w:rPr>
            </w:pPr>
            <w:r>
              <w:rPr>
                <w:rFonts w:hint="eastAsia" w:ascii="宋体" w:hAnsi="宋体" w:eastAsia="宋体" w:cs="宋体"/>
                <w:lang w:val="en-US" w:eastAsia="zh-CN"/>
              </w:rPr>
              <w:t>3.2 绿色壁垒的作用机制</w:t>
            </w:r>
          </w:p>
          <w:p>
            <w:pPr>
              <w:numPr>
                <w:ilvl w:val="0"/>
                <w:numId w:val="0"/>
              </w:numPr>
              <w:spacing w:line="360" w:lineRule="auto"/>
              <w:ind w:firstLine="420" w:firstLineChars="200"/>
              <w:jc w:val="both"/>
              <w:rPr>
                <w:rFonts w:hint="default" w:ascii="宋体" w:hAnsi="宋体" w:eastAsia="宋体" w:cs="宋体"/>
                <w:lang w:val="en-US" w:eastAsia="zh-CN"/>
              </w:rPr>
            </w:pPr>
            <w:r>
              <w:rPr>
                <w:rFonts w:hint="eastAsia" w:ascii="宋体" w:hAnsi="宋体" w:eastAsia="宋体" w:cs="宋体"/>
                <w:lang w:val="en-US" w:eastAsia="zh-CN"/>
              </w:rPr>
              <w:t>3.3 绿色壁垒的出口国效应</w:t>
            </w:r>
          </w:p>
          <w:p>
            <w:pPr>
              <w:numPr>
                <w:ilvl w:val="0"/>
                <w:numId w:val="0"/>
              </w:numPr>
              <w:spacing w:line="360" w:lineRule="auto"/>
              <w:jc w:val="both"/>
              <w:rPr>
                <w:rFonts w:hint="eastAsia" w:ascii="宋体" w:hAnsi="宋体" w:eastAsia="宋体" w:cs="宋体"/>
                <w:lang w:val="en-US" w:eastAsia="zh-CN"/>
              </w:rPr>
            </w:pPr>
            <w:r>
              <w:rPr>
                <w:rFonts w:hint="eastAsia" w:ascii="宋体" w:hAnsi="宋体" w:eastAsia="宋体" w:cs="宋体"/>
                <w:lang w:val="en-US" w:eastAsia="zh-CN"/>
              </w:rPr>
              <w:t>第4章 绿色贸易壁垒与福建省茶叶出口</w:t>
            </w:r>
          </w:p>
          <w:p>
            <w:pPr>
              <w:numPr>
                <w:ilvl w:val="0"/>
                <w:numId w:val="0"/>
              </w:numPr>
              <w:spacing w:line="360" w:lineRule="auto"/>
              <w:ind w:firstLine="420" w:firstLineChars="200"/>
              <w:jc w:val="both"/>
              <w:rPr>
                <w:rFonts w:hint="default" w:ascii="宋体" w:hAnsi="宋体" w:eastAsia="宋体" w:cs="宋体"/>
                <w:lang w:val="en-US" w:eastAsia="zh-CN"/>
              </w:rPr>
            </w:pPr>
            <w:r>
              <w:rPr>
                <w:rFonts w:hint="eastAsia" w:ascii="宋体" w:hAnsi="宋体" w:eastAsia="宋体" w:cs="宋体"/>
                <w:lang w:val="en-US" w:eastAsia="zh-CN"/>
              </w:rPr>
              <w:t>4.1 福建省茶叶出口的现状</w:t>
            </w:r>
          </w:p>
          <w:p>
            <w:pPr>
              <w:numPr>
                <w:ilvl w:val="0"/>
                <w:numId w:val="0"/>
              </w:numPr>
              <w:spacing w:line="360" w:lineRule="auto"/>
              <w:ind w:firstLine="420" w:firstLineChars="200"/>
              <w:jc w:val="both"/>
              <w:rPr>
                <w:rFonts w:hint="eastAsia" w:ascii="宋体" w:hAnsi="宋体" w:eastAsia="宋体" w:cs="宋体"/>
                <w:lang w:val="en-US" w:eastAsia="zh-CN"/>
              </w:rPr>
            </w:pPr>
            <w:r>
              <w:rPr>
                <w:rFonts w:hint="eastAsia" w:ascii="宋体" w:hAnsi="宋体" w:eastAsia="宋体" w:cs="宋体"/>
                <w:lang w:val="en-US" w:eastAsia="zh-CN"/>
              </w:rPr>
              <w:t>4.2 福建省茶叶出口遭遇绿色壁垒的基本特点</w:t>
            </w:r>
          </w:p>
          <w:p>
            <w:pPr>
              <w:numPr>
                <w:ilvl w:val="0"/>
                <w:numId w:val="0"/>
              </w:numPr>
              <w:spacing w:line="360" w:lineRule="auto"/>
              <w:ind w:firstLine="420" w:firstLineChars="200"/>
              <w:jc w:val="both"/>
              <w:rPr>
                <w:rFonts w:hint="eastAsia" w:ascii="宋体" w:hAnsi="宋体" w:eastAsia="宋体" w:cs="宋体"/>
                <w:lang w:val="en-US" w:eastAsia="zh-CN"/>
              </w:rPr>
            </w:pPr>
            <w:r>
              <w:rPr>
                <w:rFonts w:hint="eastAsia" w:ascii="宋体" w:hAnsi="宋体" w:eastAsia="宋体" w:cs="宋体"/>
                <w:lang w:val="en-US" w:eastAsia="zh-CN"/>
              </w:rPr>
              <w:t>4.3 绿色贸易壁垒对福建省茶叶出口的影响</w:t>
            </w:r>
          </w:p>
          <w:p>
            <w:pPr>
              <w:numPr>
                <w:ilvl w:val="0"/>
                <w:numId w:val="0"/>
              </w:numPr>
              <w:spacing w:line="360" w:lineRule="auto"/>
              <w:ind w:firstLine="420" w:firstLineChars="200"/>
              <w:jc w:val="both"/>
              <w:rPr>
                <w:rFonts w:hint="default" w:ascii="宋体" w:hAnsi="宋体" w:eastAsia="宋体" w:cs="宋体"/>
                <w:lang w:val="en-US" w:eastAsia="zh-CN"/>
              </w:rPr>
            </w:pPr>
            <w:r>
              <w:rPr>
                <w:rFonts w:hint="eastAsia" w:ascii="宋体" w:hAnsi="宋体" w:eastAsia="宋体" w:cs="宋体"/>
                <w:lang w:val="en-US" w:eastAsia="zh-CN"/>
              </w:rPr>
              <w:t>4.4 福建省茶叶出口遭受绿色壁垒的原因</w:t>
            </w:r>
          </w:p>
          <w:p>
            <w:pPr>
              <w:numPr>
                <w:ilvl w:val="0"/>
                <w:numId w:val="0"/>
              </w:numPr>
              <w:spacing w:line="360" w:lineRule="auto"/>
              <w:jc w:val="both"/>
              <w:rPr>
                <w:rFonts w:hint="eastAsia" w:ascii="宋体" w:hAnsi="宋体" w:eastAsia="宋体" w:cs="宋体"/>
                <w:lang w:val="en-US" w:eastAsia="zh-CN"/>
              </w:rPr>
            </w:pPr>
            <w:r>
              <w:rPr>
                <w:rFonts w:hint="eastAsia" w:ascii="宋体" w:hAnsi="宋体" w:eastAsia="宋体" w:cs="宋体"/>
                <w:lang w:val="en-US" w:eastAsia="zh-CN"/>
              </w:rPr>
              <w:t>第5章 绿色壁垒对福建省茶叶出口影响的实证分析</w:t>
            </w:r>
          </w:p>
          <w:p>
            <w:pPr>
              <w:numPr>
                <w:ilvl w:val="0"/>
                <w:numId w:val="0"/>
              </w:numPr>
              <w:spacing w:line="360" w:lineRule="auto"/>
              <w:ind w:firstLine="420" w:firstLineChars="200"/>
              <w:jc w:val="both"/>
              <w:rPr>
                <w:rFonts w:hint="eastAsia" w:ascii="宋体" w:hAnsi="宋体" w:eastAsia="宋体" w:cs="宋体"/>
                <w:lang w:val="en-US" w:eastAsia="zh-CN"/>
              </w:rPr>
            </w:pPr>
            <w:r>
              <w:rPr>
                <w:rFonts w:hint="eastAsia" w:ascii="宋体" w:hAnsi="宋体" w:eastAsia="宋体" w:cs="宋体"/>
                <w:lang w:val="en-US" w:eastAsia="zh-CN"/>
              </w:rPr>
              <w:t>5.1 引力模型的理论基础和实证研究</w:t>
            </w:r>
          </w:p>
          <w:p>
            <w:pPr>
              <w:numPr>
                <w:ilvl w:val="0"/>
                <w:numId w:val="0"/>
              </w:numPr>
              <w:spacing w:line="360" w:lineRule="auto"/>
              <w:ind w:firstLine="420" w:firstLineChars="200"/>
              <w:jc w:val="both"/>
              <w:rPr>
                <w:rFonts w:hint="eastAsia" w:ascii="宋体" w:hAnsi="宋体" w:eastAsia="宋体" w:cs="宋体"/>
                <w:lang w:val="en-US" w:eastAsia="zh-CN"/>
              </w:rPr>
            </w:pPr>
            <w:r>
              <w:rPr>
                <w:rFonts w:hint="eastAsia" w:ascii="宋体" w:hAnsi="宋体" w:eastAsia="宋体" w:cs="宋体"/>
                <w:lang w:val="en-US" w:eastAsia="zh-CN"/>
              </w:rPr>
              <w:t>5.2 模型的设定和变量说明</w:t>
            </w:r>
          </w:p>
          <w:p>
            <w:pPr>
              <w:numPr>
                <w:ilvl w:val="0"/>
                <w:numId w:val="0"/>
              </w:numPr>
              <w:spacing w:line="360" w:lineRule="auto"/>
              <w:ind w:firstLine="420" w:firstLineChars="200"/>
              <w:jc w:val="both"/>
              <w:rPr>
                <w:rFonts w:hint="eastAsia" w:ascii="宋体" w:hAnsi="宋体" w:eastAsia="宋体" w:cs="宋体"/>
                <w:lang w:val="en-US" w:eastAsia="zh-CN"/>
              </w:rPr>
            </w:pPr>
            <w:r>
              <w:rPr>
                <w:rFonts w:hint="eastAsia" w:ascii="宋体" w:hAnsi="宋体" w:eastAsia="宋体" w:cs="宋体"/>
                <w:lang w:val="en-US" w:eastAsia="zh-CN"/>
              </w:rPr>
              <w:t>5.3 回归结果分析</w:t>
            </w:r>
          </w:p>
          <w:p>
            <w:pPr>
              <w:numPr>
                <w:ilvl w:val="0"/>
                <w:numId w:val="0"/>
              </w:numPr>
              <w:spacing w:line="360" w:lineRule="auto"/>
              <w:jc w:val="both"/>
              <w:rPr>
                <w:rFonts w:hint="eastAsia" w:ascii="宋体" w:hAnsi="宋体" w:eastAsia="宋体" w:cs="宋体"/>
                <w:lang w:val="en-US" w:eastAsia="zh-CN"/>
              </w:rPr>
            </w:pPr>
            <w:r>
              <w:rPr>
                <w:rFonts w:hint="eastAsia" w:ascii="宋体" w:hAnsi="宋体" w:eastAsia="宋体" w:cs="宋体"/>
                <w:lang w:val="en-US" w:eastAsia="zh-CN"/>
              </w:rPr>
              <w:t>第6章 研究结论与对策建议</w:t>
            </w:r>
          </w:p>
          <w:p>
            <w:pPr>
              <w:numPr>
                <w:ilvl w:val="0"/>
                <w:numId w:val="0"/>
              </w:numPr>
              <w:spacing w:line="360" w:lineRule="auto"/>
              <w:ind w:firstLine="420" w:firstLineChars="200"/>
              <w:jc w:val="both"/>
              <w:rPr>
                <w:rFonts w:hint="eastAsia" w:ascii="宋体" w:hAnsi="宋体" w:eastAsia="宋体" w:cs="宋体"/>
                <w:lang w:val="en-US" w:eastAsia="zh-CN"/>
              </w:rPr>
            </w:pPr>
            <w:r>
              <w:rPr>
                <w:rFonts w:hint="eastAsia" w:ascii="宋体" w:hAnsi="宋体" w:eastAsia="宋体" w:cs="宋体"/>
                <w:lang w:val="en-US" w:eastAsia="zh-CN"/>
              </w:rPr>
              <w:t>6.1 研究结论分析</w:t>
            </w:r>
          </w:p>
          <w:p>
            <w:pPr>
              <w:numPr>
                <w:ilvl w:val="0"/>
                <w:numId w:val="0"/>
              </w:numPr>
              <w:spacing w:line="360" w:lineRule="auto"/>
              <w:ind w:firstLine="420" w:firstLineChars="200"/>
              <w:jc w:val="both"/>
              <w:rPr>
                <w:rFonts w:hint="default" w:ascii="宋体" w:hAnsi="宋体" w:eastAsia="宋体" w:cs="宋体"/>
                <w:lang w:val="en-US" w:eastAsia="zh-CN"/>
              </w:rPr>
            </w:pPr>
            <w:r>
              <w:rPr>
                <w:rFonts w:hint="eastAsia" w:ascii="宋体" w:hAnsi="宋体" w:eastAsia="宋体" w:cs="宋体"/>
                <w:lang w:val="en-US" w:eastAsia="zh-CN"/>
              </w:rPr>
              <w:t>6.2 面对绿色壁垒我过的应对策略建议</w:t>
            </w:r>
          </w:p>
          <w:p>
            <w:pPr>
              <w:numPr>
                <w:ilvl w:val="0"/>
                <w:numId w:val="0"/>
              </w:numPr>
              <w:spacing w:line="360" w:lineRule="auto"/>
              <w:jc w:val="both"/>
              <w:rPr>
                <w:rFonts w:hint="eastAsia" w:ascii="宋体" w:hAnsi="宋体" w:eastAsia="宋体" w:cs="宋体"/>
                <w:lang w:val="en-US" w:eastAsia="zh-CN"/>
              </w:rPr>
            </w:pPr>
            <w:r>
              <w:rPr>
                <w:rFonts w:hint="eastAsia" w:ascii="宋体" w:hAnsi="宋体" w:eastAsia="宋体" w:cs="宋体"/>
                <w:lang w:val="en-US" w:eastAsia="zh-CN"/>
              </w:rPr>
              <w:t>结束语</w:t>
            </w:r>
          </w:p>
          <w:p>
            <w:pPr>
              <w:numPr>
                <w:ilvl w:val="0"/>
                <w:numId w:val="0"/>
              </w:numPr>
              <w:spacing w:line="360" w:lineRule="auto"/>
              <w:jc w:val="both"/>
              <w:rPr>
                <w:rFonts w:hint="eastAsia" w:ascii="宋体" w:hAnsi="宋体" w:eastAsia="宋体" w:cs="宋体"/>
                <w:lang w:val="en-US" w:eastAsia="zh-CN"/>
              </w:rPr>
            </w:pPr>
            <w:r>
              <w:rPr>
                <w:rFonts w:hint="eastAsia" w:ascii="宋体" w:hAnsi="宋体" w:eastAsia="宋体" w:cs="宋体"/>
                <w:lang w:val="en-US" w:eastAsia="zh-CN"/>
              </w:rPr>
              <w:t>参考文献</w:t>
            </w:r>
          </w:p>
          <w:p>
            <w:pPr>
              <w:rPr>
                <w:rFonts w:ascii="宋体" w:hAnsi="宋体" w:eastAsia="宋体"/>
                <w:sz w:val="24"/>
              </w:rPr>
            </w:pPr>
            <w:r>
              <w:rPr>
                <w:rFonts w:hint="eastAsia" w:ascii="宋体" w:hAnsi="宋体" w:eastAsia="宋体" w:cs="宋体"/>
                <w:lang w:val="en-US" w:eastAsia="zh-CN"/>
              </w:rPr>
              <w:t>致谢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7151" w:type="dxa"/>
            <w:vAlign w:val="center"/>
          </w:tcPr>
          <w:p>
            <w:pPr>
              <w:numPr>
                <w:ilvl w:val="0"/>
                <w:numId w:val="0"/>
              </w:numPr>
              <w:rPr>
                <w:rFonts w:hint="eastAsia" w:ascii="宋体" w:hAnsi="宋体" w:eastAsia="宋体" w:cs="宋体"/>
                <w:color w:val="000000"/>
                <w:kern w:val="0"/>
                <w:sz w:val="18"/>
                <w:szCs w:val="18"/>
              </w:rPr>
            </w:pPr>
            <w:bookmarkStart w:id="0" w:name="_GoBack"/>
            <w:r>
              <w:rPr>
                <w:rFonts w:hint="eastAsia" w:ascii="宋体" w:hAnsi="宋体" w:eastAsia="宋体" w:cs="宋体"/>
                <w:color w:val="000000"/>
                <w:kern w:val="0"/>
                <w:sz w:val="18"/>
                <w:szCs w:val="18"/>
              </w:rPr>
              <w:t>[1]贾晓薇,孙刚,王志强.我国金融制度与经济增长之间的关系研究——基于ARDL模型的分析[J].数量经济研究. 2019(04)</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[2]黄永明,姜泽林.金融结构、产业集聚与经济高质量发展[J].科学学研究. 2019(10)</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[3]王景娟.中国金融发展和经济增长关系的实证研究[J].财经界(学术版). 2019(18)</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[4]刘伟,黄彪.从剑桥方程到斯拉法超级乘数——需求拉动型经济增长理论评述[J].   中国人民大学学报. 2019(05)</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[5]习明明,彭镇华.金融结构、资本配置效率与经济增长的中介效应[J].证券市场导报. 2019(09)</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[6]刘伟,范欣.现代经济增长理论的内在逻辑与实践路径[J].北京大学学报(哲学社会科学版). 2019(03)</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[7]李一芳,岳帅,李博.辽宁沿海经济带商贸流通企业融资结构优化探讨[J].商业经济研究. 2018(09)</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[8]罗英.区域金融发展问题研究文献综述[J].经济师. 2018(05)</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[9]侯志铭,王福宇.辽宁区域经济发展中的金融支持研究[J].</w:t>
            </w:r>
            <w:r>
              <w:rPr>
                <w:rFonts w:hint="eastAsia" w:ascii="宋体" w:hAnsi="宋体" w:eastAsia="宋体" w:cs="宋体"/>
                <w:color w:val="000000"/>
                <w:kern w:val="0"/>
                <w:sz w:val="18"/>
                <w:szCs w:val="18"/>
                <w:lang w:eastAsia="zh-CN"/>
              </w:rPr>
              <w:t>中</w:t>
            </w:r>
            <w:r>
              <w:rPr>
                <w:rFonts w:hint="eastAsia" w:ascii="宋体" w:hAnsi="宋体" w:eastAsia="宋体" w:cs="宋体"/>
                <w:color w:val="000000"/>
                <w:kern w:val="0"/>
                <w:sz w:val="18"/>
                <w:szCs w:val="18"/>
              </w:rPr>
              <w:t>国管理信息化. 2018(04)</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[10]李文博,张志军,刘洪峰,胡煜寒.振兴辽宁老工业基地的金融支持[J].中国冶金教育. 2017(05)</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 宋宁宁. 金融集聚对金融业全要素生产率的影响研究[D]. 山东大学, 2020.</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 徐梁博. "一带一路"影响下区域经济协调发展[J]. 时代金融, 2020(21).</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[3] 卢淑敏. 浅谈金融发展与地方经济发展的关系[J]. 新丝路:上旬, 2020, 000(005):P.1-1.</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[4] 相德超. 金融发展与经济增长的关系——基于城市层面的数据[J]. 社会科学前沿, 2021, 10(2):7.</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[5] 靖 张, 文菁 黄, 林 何,等. 金融集聚与区域经济增长的理论与实证研究——以粤港澳大湾区为例[J].  2021.</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[6] 董行. 基于互联网众筹模式的风险防范机制研究[J]. 经济学, 2021, 4(1):16-18.</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[7] 史美君, 陈中鸣, 赵袁志,等. 东部沿海城市阿尔茨海默病直接经济负担及相关因素分析[J]. 中国现代医生 2021年59卷8期, 131-136,140页, 2021:浙江省宁波市科技计划项目.</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[8] 王喆. 构建中国新型城镇化发展的层级金融网络支持体系研究[D]. 西安电子科技大学, 2020.</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[9] 李莹莹. 我国“一带一路”沿线城市FDI与新型城镇化的关系研究[D]. 江苏大学, 2020.</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[10] 黄婷婷,高波. "一带一路"沿线国家金融发展与经济增长效应[J]. 郑州大学学报(哲学社会科学版), 2020, v.53;No.270(06):42-47+128.</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[11] 詹鹏,李欣睿. 金融发展与经济增长之间关系的空间分析——基于我国省级面板数据[J]. 调研世界, 2020, No.327(12):19-24.</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[12] 李晓艳. 航运业与金融业发展的关系研究——以青岛市为例[J]. 价值工程, 2020, v.39;No.558(10):65-67.</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[13] 傅远佳, 包国庆, 夏天一,等. 西部向海经济带建设的基础与对策[J]. 开放导报, 2020(5).</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[14] 刘功润. "双循环"是中国经济发展的理性选择[J]. 中国中小企业, 2020, No.301(12):54-55.</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[15] 田云华, 王凌峰, 张建武. 中国利用外资形式对区域经济增长的影响[J]. 经济社会体制比较, 2020, No.209(03):32-43.</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[16] 张振. 东北地区区域经济韧性研究[D]. 吉林大学, 2020.</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[17] 崔兆勇. 山东省生态效率的空间效应及影响因素研究[D]. 江西财经大学, 2020.</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[18] 蒋佳莉. 广西民间融资模式创新与风险控制浅析——以广西沿边金融改革为背景[J]. 现代经济信息, 2020(02):194-195.</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[19] 袁照稳. "一带一路"背景下国际经济贸易发展前景探析[J]. 特区经济, 2020(8).</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[20] 王文君, 张煜泰. 城市商业银行法律风险管理机制研究[J]. 中国市场, 2020(20).</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[21] 刘俊杰, 李梦柔, 李炳程. 基于GIS的广西经济重心与消费重心时空演变研究[J]. 区域金融研究, 2020, No.573(04):81-88.</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[22] 杜国臣, 徐哲潇, 尹政平. 我国自贸试验区建设的发展方向[J]. 经济研究参考, 2020, No.2950(06):122-124.</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lang w:val="en-US" w:eastAsia="zh-CN"/>
              </w:rPr>
              <w:t>23</w:t>
            </w:r>
            <w:r>
              <w:rPr>
                <w:rFonts w:hint="eastAsia" w:ascii="宋体" w:hAnsi="宋体" w:eastAsia="宋体" w:cs="宋体"/>
                <w:color w:val="000000"/>
                <w:kern w:val="0"/>
                <w:sz w:val="18"/>
                <w:szCs w:val="18"/>
              </w:rPr>
              <w:t>]Variability in the effects of uncertainty shocks: New stylized facts from OECD countries[J] . Sangyup Choi.  Journal of Macroeconomics . 2017</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lang w:val="en-US" w:eastAsia="zh-CN"/>
              </w:rPr>
              <w:t>24</w:t>
            </w:r>
            <w:r>
              <w:rPr>
                <w:rFonts w:hint="eastAsia" w:ascii="宋体" w:hAnsi="宋体" w:eastAsia="宋体" w:cs="宋体"/>
                <w:color w:val="000000"/>
                <w:kern w:val="0"/>
                <w:sz w:val="18"/>
                <w:szCs w:val="18"/>
              </w:rPr>
              <w:t>]Economic policy uncertainty and cash holdings: Evidence from BRIC countries[J] . Ender Demir,Oguz Ersan.  Emerging Markets Review . 2017</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lang w:val="en-US" w:eastAsia="zh-CN"/>
              </w:rPr>
              <w:t>25</w:t>
            </w:r>
            <w:r>
              <w:rPr>
                <w:rFonts w:hint="eastAsia" w:ascii="宋体" w:hAnsi="宋体" w:eastAsia="宋体" w:cs="宋体"/>
                <w:color w:val="000000"/>
                <w:kern w:val="0"/>
                <w:sz w:val="18"/>
                <w:szCs w:val="18"/>
              </w:rPr>
              <w:t>]Peer bank behavior, economic policy uncertainty, and leverage decision of financial institutions[J] . Chien-Chiang Lee,Chi-Chuan Lee,Jhih-Hong Zeng,Yu-Ling Hsu.  Journal of Financial Stability . 2017</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lang w:val="en-US" w:eastAsia="zh-CN"/>
              </w:rPr>
              <w:t>26</w:t>
            </w:r>
            <w:r>
              <w:rPr>
                <w:rFonts w:hint="eastAsia" w:ascii="宋体" w:hAnsi="宋体" w:eastAsia="宋体" w:cs="宋体"/>
                <w:color w:val="000000"/>
                <w:kern w:val="0"/>
                <w:sz w:val="18"/>
                <w:szCs w:val="18"/>
              </w:rPr>
              <w:t>]Trade policy uncertainty and exports: Evidence from China’s WTO accession[J] . Ling Feng,Zhiyuan Li,Deborah L. Swenson.  Journal of International Economics . 2017</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lang w:val="en-US" w:eastAsia="zh-CN"/>
              </w:rPr>
              <w:t>27</w:t>
            </w:r>
            <w:r>
              <w:rPr>
                <w:rFonts w:hint="eastAsia" w:ascii="宋体" w:hAnsi="宋体" w:eastAsia="宋体" w:cs="宋体"/>
                <w:color w:val="000000"/>
                <w:kern w:val="0"/>
                <w:sz w:val="18"/>
                <w:szCs w:val="18"/>
              </w:rPr>
              <w:t>]Fiscal Volatility Shocks and Economic Activity[J] .   The American Economic Review . 2015 (11)</w:t>
            </w:r>
          </w:p>
          <w:p>
            <w:pPr>
              <w:numPr>
                <w:ilvl w:val="0"/>
                <w:numId w:val="0"/>
              </w:num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lang w:val="en-US" w:eastAsia="zh-CN"/>
              </w:rPr>
              <w:t>28</w:t>
            </w:r>
            <w:r>
              <w:rPr>
                <w:rFonts w:hint="eastAsia" w:ascii="宋体" w:hAnsi="宋体" w:eastAsia="宋体" w:cs="宋体"/>
                <w:color w:val="000000"/>
                <w:kern w:val="0"/>
                <w:sz w:val="18"/>
                <w:szCs w:val="18"/>
              </w:rPr>
              <w:t>]Microeconomic uncertainty, international trade, and aggregate fluctuations[J] . George Alessandria,Horag Choi,Joseph P. Kaboski,Virgiliu Midrigan.  Journal of Monetary Economics . 2014</w:t>
            </w:r>
          </w:p>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lang w:val="en-US" w:eastAsia="zh-CN"/>
              </w:rPr>
              <w:t>29</w:t>
            </w:r>
            <w:r>
              <w:rPr>
                <w:rFonts w:hint="eastAsia" w:ascii="宋体" w:hAnsi="宋体" w:eastAsia="宋体" w:cs="宋体"/>
                <w:color w:val="000000"/>
                <w:kern w:val="0"/>
                <w:sz w:val="18"/>
                <w:szCs w:val="18"/>
              </w:rPr>
              <w:t>]Exporting under trade policy uncertainty: Theory and evidence[J] . Kyle Handley.  Journal of International Economics . 2014 (1)</w:t>
            </w:r>
            <w:bookmarkEnd w:id="0"/>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00013A36"/>
    <w:rsid w:val="00043685"/>
    <w:rsid w:val="000D616E"/>
    <w:rsid w:val="00111AC2"/>
    <w:rsid w:val="001C3791"/>
    <w:rsid w:val="001D4ABC"/>
    <w:rsid w:val="001F2172"/>
    <w:rsid w:val="003B775D"/>
    <w:rsid w:val="003C213C"/>
    <w:rsid w:val="00486FC8"/>
    <w:rsid w:val="004D2135"/>
    <w:rsid w:val="00556D05"/>
    <w:rsid w:val="005849BC"/>
    <w:rsid w:val="00761113"/>
    <w:rsid w:val="00781ECA"/>
    <w:rsid w:val="00807310"/>
    <w:rsid w:val="008F0ED8"/>
    <w:rsid w:val="009D0666"/>
    <w:rsid w:val="00A32456"/>
    <w:rsid w:val="00AB5DD7"/>
    <w:rsid w:val="00C24284"/>
    <w:rsid w:val="00C96226"/>
    <w:rsid w:val="00D334ED"/>
    <w:rsid w:val="00E5705C"/>
    <w:rsid w:val="0F2B3FCC"/>
    <w:rsid w:val="26AE6A8D"/>
    <w:rsid w:val="28FE1616"/>
    <w:rsid w:val="3CE45574"/>
    <w:rsid w:val="4DCF461B"/>
    <w:rsid w:val="596F6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kern w:val="2"/>
      <w:sz w:val="18"/>
      <w:szCs w:val="18"/>
    </w:rPr>
  </w:style>
  <w:style w:type="character" w:customStyle="1" w:styleId="7">
    <w:name w:val="页脚 Char"/>
    <w:basedOn w:val="5"/>
    <w:link w:val="2"/>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978</Words>
  <Characters>5577</Characters>
  <Lines>46</Lines>
  <Paragraphs>13</Paragraphs>
  <TotalTime>0</TotalTime>
  <ScaleCrop>false</ScaleCrop>
  <LinksUpToDate>false</LinksUpToDate>
  <CharactersWithSpaces>6542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SZ00399</cp:lastModifiedBy>
  <dcterms:modified xsi:type="dcterms:W3CDTF">2021-07-06T02:44:04Z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747519AB6C6F4EFFBA3962E0F7A0C5B6</vt:lpwstr>
  </property>
</Properties>
</file>