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6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71040794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杨晨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广州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世界经济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13751798432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43902214@qq.com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北京电子科技学院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行政管理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广州市商务局</w:t>
            </w:r>
          </w:p>
        </w:tc>
        <w:tc>
          <w:tcPr>
            <w:tcW w:w="1427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副处长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8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杨晨，女，汉族，籍贯陕西西安，1986年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月22日出生，大学学历，学士学位。2008年7月参加公务员考试进入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广州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市委办公厅，2019年10月调入广州市商务局，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2020年1月任副处长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。该同志曾获得广州市直机关优秀团员、广州市优秀共青团员、广州市优秀密码干部等荣誉称号。在市委办工作期间，重视对新政策、新形势、新动态的掌握和调查研究，围绕基层党建、乡村振兴等工作领域，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努力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形成有深度、有质量、有价值的讲话参考和调研报告等文稿。《关于广州市党员犯罪情况的调研报告》获原广州市委副书记欧阳卫民同志批示：“做好党建工作，必须做好调研、分析工作，这篇材料开了一个好头”，《广州市加强机关党支部政治建设课题研究报告》在机关党建重点课题调研活动评比中荣获第一名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在2019年10月调入市商务局工作后，主要负责优化口岸营商环境，推动跨境贸易便利化相关工作。通过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2020年、2021年参与开展跨境贸易便利化专项行动，推动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广州市口岸通关进一步提效降费，不断促进广州市跨境贸易高质量发展。自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2020年2月底，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参与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广州市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抗击新冠肺炎疫情工作，主要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负责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广州口岸入境人员管理，先后在入境人员集中隔离酒店、“1+9”指挥部办公室、入境人员服务组办公室等岗位工作。组织工作会议60多期，协调解决事项100余项；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结合广州市疫情和经济社会发展情况，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制定完善各类工作制度、方案、通知等近十万余字，有力推动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疫情防控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工作落实到位，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助力</w:t>
            </w:r>
            <w:r>
              <w:rPr>
                <w:rFonts w:ascii="Arial" w:hAnsi="Arial" w:eastAsia="宋体" w:cs="Arial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“六稳”工作，尽可能降低疫情对经济的影响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 xml:space="preserve">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</w:t>
            </w:r>
          </w:p>
        </w:tc>
        <w:tc>
          <w:tcPr>
            <w:tcW w:w="1418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填：是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6058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“一带一路”背景下应对国际贸易壁垒的策略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《消费导刊》（刊号：CN11_5052/Z,2019年第31期）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6" w:hRule="atLeast"/>
          <w:jc w:val="center"/>
        </w:trPr>
        <w:tc>
          <w:tcPr>
            <w:tcW w:w="2361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在实施“一带一路”倡议的过程中，建立起了我国与沿线国家之间频繁的贸易往来，加深了国际合作的层次、扩大了国际贸易合作的范围，但是随之而来的国际贸易壁垒也是不容忽视的。鉴于此，本文首先对“一带一路”与国际贸易壁垒进行了简要概述，并详细探讨了“一带一路”背景下国际贸易壁垒主要类型以及沿线国家贸易合作的主要障碍，最后有针对性提出了“一带一路”背景下应对国际贸易壁垒的策略，以供参考。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</w:tc>
      </w:tr>
    </w:tbl>
    <w:p/>
    <w:tbl>
      <w:tblPr>
        <w:tblStyle w:val="6"/>
        <w:tblW w:w="9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6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525" w:lineRule="atLeast"/>
              <w:ind w:left="0" w:right="0" w:firstLine="0"/>
              <w:jc w:val="center"/>
              <w:textAlignment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 w:cstheme="minorBidi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优化口岸营商环境对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A市</w:t>
            </w:r>
            <w:r>
              <w:rPr>
                <w:rFonts w:hint="eastAsia" w:ascii="宋体" w:hAnsi="宋体" w:eastAsia="宋体" w:cstheme="minorBidi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贸易便利性的影响研究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2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改革开放至今,随着世界经济一体化进程的不断推进,我国对外贸易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便利性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的重要性愈发突出。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A市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位于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珠三角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核心区域,对外贸易蓬勃发展,“</w:t>
            </w:r>
            <w:r>
              <w:rPr>
                <w:rFonts w:hint="default" w:ascii="宋体" w:hAnsi="宋体" w:eastAsia="宋体"/>
                <w:sz w:val="24"/>
                <w:lang w:eastAsia="zh-CN"/>
              </w:rPr>
              <w:t>一带一路”进出口贸易增长强劲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。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但近年来，由于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中美贸易摩擦日益加剧,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全球新冠肺炎形势依旧严峻，国际经贸下行压力巨大，口岸营商环境作为整体性营商环境的组成部分，直接关系到跨境贸易便利化的进程和成效，优化口岸营商环境，对营造便利条件、增强市场活力、稳定企业预期、促进外贸发展有明显得现实意义。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本文首先阐述了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口岸营商环境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、贸易便利化等相关概念和理论基础,列举国内外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优化口岸营商环境的先进经验，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运用定量分析法,收集、筛选和整理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相关数据信息，对A市现有的口岸营商环境进行分析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和综合评价，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通过实证分析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得出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口岸营商环境各项因素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贸易便利化性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的影响程度。最后归纳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A市优化口岸营商环境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可借鉴的经验及适宜选择的模式。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525" w:lineRule="atLeast"/>
              <w:ind w:left="0" w:right="0" w:firstLine="0"/>
              <w:jc w:val="center"/>
              <w:textAlignment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 w:cstheme="minorBidi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优化口岸营商环境对</w:t>
            </w:r>
            <w:r>
              <w:rPr>
                <w:rFonts w:hint="eastAsia" w:cstheme="minorBidi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A市</w:t>
            </w:r>
            <w:r>
              <w:rPr>
                <w:rFonts w:hint="eastAsia" w:ascii="宋体" w:hAnsi="宋体" w:eastAsia="宋体" w:cstheme="minorBidi"/>
                <w:b w:val="0"/>
                <w:bCs w:val="0"/>
                <w:kern w:val="2"/>
                <w:sz w:val="24"/>
                <w:szCs w:val="22"/>
                <w:lang w:val="en-US" w:eastAsia="zh-CN" w:bidi="ar-SA"/>
              </w:rPr>
              <w:t>贸易便利性的影响研究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62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摘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Abstract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第一章 绪论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1.1 研究背景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1.2 研究目的和意义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1.3 论文内容及框架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第二章 有关概念和理论基础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2.1 口岸概述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2.2 口岸营商环境概述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2.3 优化口岸营商环境理论基础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2.4口岸营商环境评价标准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80" w:firstLineChars="200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2.5 贸易便利化概述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2.6贸易便利化相关理论基础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第三章 口岸营商环境国内外经验借鉴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3.1 国内外良好口岸营商环境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3.2 国内外口岸营商环境给A市的经验启示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第四章 A市口岸营商环境现状分析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 A市口岸营商环境总体情况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 A市通关和贸易制度情况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 A市口岸货物通关时效分析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 A市口岸货物通关成本分析       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第五章 A市口岸营商环境对贸易便利化的实证分析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4.1 变量的选取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4.2 基于主成分分析的线性回归原理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4.3 实证研究结果分析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第六章 加快A市口岸营商环境促进贸易便利化的对策措施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6.1 优化口岸管理体制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6.2 夯实口岸发展基础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6.3 强化信息技术运用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80" w:firstLineChars="200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6.4 简化流程改进服务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6.5 改善口岸治理环境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firstLine="453" w:firstLineChars="189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6.6 强化口岸运营保障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6" w:hRule="atLeast"/>
          <w:jc w:val="center"/>
        </w:trPr>
        <w:tc>
          <w:tcPr>
            <w:tcW w:w="236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一、参考书籍：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1.亚当·斯密《国富论》 2.</w:t>
            </w:r>
            <w:r>
              <w:rPr>
                <w:rFonts w:hint="default"/>
                <w:lang w:val="en-US" w:eastAsia="zh-CN"/>
              </w:rPr>
              <w:t>大卫李嘉图</w:t>
            </w:r>
            <w:r>
              <w:rPr>
                <w:rFonts w:hint="eastAsia"/>
                <w:lang w:val="en-US" w:eastAsia="zh-CN"/>
              </w:rPr>
              <w:t>《政治经济学及赋税原理》3.俄林《地区间贸易与国际贸易》4.彭慕兰《贸易打造的世界》 5.丽贝卡·哈丁《大国贸易博弈：数字时代的双赢战略》6.张铁军《全球化与国家竞争》7.郑永年《贸易与理性》、《中国下一步》 9.黄奇帆《结构性改革》 10.张燕生《中国对外经济贸易70年》 11.杨莉《中国贸易便利化改革的成本与利益分析》12.邬晓芳《口岸管理体制改革研究》13.王丽英《共享理念下口岸各部门协作机制研究》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二、参考论文：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1.艾尚乐.广州对外经济贸易发展问题与展望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2.张小凤.一带一路”新格局下我国对外贸易转型升级的实证研究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3.杨小凯，张永生.新贸易理论、比较利益理论及其经验研究的新成果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4.熊贤良.对外贸易促进经济增长的机制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5.蒋莹.国际经济贸易发展趋势与我国对外贸易战略选择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6.彭波.探索外贸发展的中国道路——中国共产党领导下的百年对外贸易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7.孙慧.中外口岸通关模式的比较研究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8.沈建明.我国口岸管理体制的现状分析及改革对策</w:t>
            </w:r>
          </w:p>
        </w:tc>
      </w:tr>
    </w:tbl>
    <w:p>
      <w:pPr>
        <w:ind w:firstLine="422" w:firstLineChars="200"/>
        <w:rPr>
          <w:rFonts w:ascii="宋体" w:hAnsi="宋体" w:eastAsia="宋体"/>
          <w:b/>
          <w:bCs/>
          <w:color w:val="FF0000"/>
        </w:rPr>
      </w:pPr>
      <w:r>
        <w:rPr>
          <w:rFonts w:hint="eastAsia" w:ascii="宋体" w:hAnsi="宋体" w:eastAsia="宋体"/>
          <w:b/>
          <w:bCs/>
          <w:color w:val="FF0000"/>
        </w:rPr>
        <w:t>注：1、请认真填写各项信息，</w:t>
      </w:r>
      <w:r>
        <w:rPr>
          <w:rFonts w:ascii="宋体" w:hAnsi="宋体" w:eastAsia="宋体"/>
          <w:b/>
          <w:bCs/>
          <w:color w:val="FF0000"/>
        </w:rPr>
        <w:t>根据学员</w:t>
      </w:r>
      <w:r>
        <w:rPr>
          <w:rFonts w:hint="eastAsia" w:ascii="宋体" w:hAnsi="宋体" w:eastAsia="宋体"/>
          <w:b/>
          <w:bCs/>
          <w:color w:val="FF0000"/>
        </w:rPr>
        <w:t>相关情况和拟定</w:t>
      </w:r>
      <w:r>
        <w:rPr>
          <w:rFonts w:ascii="宋体" w:hAnsi="宋体" w:eastAsia="宋体"/>
          <w:b/>
          <w:bCs/>
          <w:color w:val="FF0000"/>
        </w:rPr>
        <w:t>论文方向，由院</w:t>
      </w:r>
      <w:bookmarkStart w:id="0" w:name="_GoBack"/>
      <w:bookmarkEnd w:id="0"/>
      <w:r>
        <w:rPr>
          <w:rFonts w:ascii="宋体" w:hAnsi="宋体" w:eastAsia="宋体"/>
          <w:b/>
          <w:bCs/>
          <w:color w:val="FF0000"/>
        </w:rPr>
        <w:t>系统一分配指导老师。</w:t>
      </w:r>
    </w:p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>
      <w:pgSz w:w="11906" w:h="16838"/>
      <w:pgMar w:top="1418" w:right="1134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C213C"/>
    <w:rsid w:val="00556D05"/>
    <w:rsid w:val="00761113"/>
    <w:rsid w:val="00807310"/>
    <w:rsid w:val="009D0666"/>
    <w:rsid w:val="00A32456"/>
    <w:rsid w:val="00AB5DD7"/>
    <w:rsid w:val="00E5705C"/>
    <w:rsid w:val="0298240E"/>
    <w:rsid w:val="05237EAC"/>
    <w:rsid w:val="064137EE"/>
    <w:rsid w:val="0816677F"/>
    <w:rsid w:val="0A4C0FF0"/>
    <w:rsid w:val="0C731814"/>
    <w:rsid w:val="0CB15575"/>
    <w:rsid w:val="0F8F290C"/>
    <w:rsid w:val="13572586"/>
    <w:rsid w:val="14924430"/>
    <w:rsid w:val="15485E1D"/>
    <w:rsid w:val="160E111B"/>
    <w:rsid w:val="18826083"/>
    <w:rsid w:val="1A2E031C"/>
    <w:rsid w:val="1B924262"/>
    <w:rsid w:val="1C650C7B"/>
    <w:rsid w:val="1EC204C7"/>
    <w:rsid w:val="1F017045"/>
    <w:rsid w:val="1F8E6572"/>
    <w:rsid w:val="2284573B"/>
    <w:rsid w:val="237162AB"/>
    <w:rsid w:val="23AA4CD9"/>
    <w:rsid w:val="240E555C"/>
    <w:rsid w:val="24D02961"/>
    <w:rsid w:val="28F34274"/>
    <w:rsid w:val="2A597787"/>
    <w:rsid w:val="2BFB6D9A"/>
    <w:rsid w:val="2D3E0117"/>
    <w:rsid w:val="2DAA3E28"/>
    <w:rsid w:val="2E19446D"/>
    <w:rsid w:val="2F59108D"/>
    <w:rsid w:val="2FE9594E"/>
    <w:rsid w:val="30BC7B71"/>
    <w:rsid w:val="3246703D"/>
    <w:rsid w:val="33C73420"/>
    <w:rsid w:val="35866B4D"/>
    <w:rsid w:val="36C5280C"/>
    <w:rsid w:val="394B3C28"/>
    <w:rsid w:val="396F39CE"/>
    <w:rsid w:val="3BD71F7E"/>
    <w:rsid w:val="3FB06975"/>
    <w:rsid w:val="42001090"/>
    <w:rsid w:val="47BB5986"/>
    <w:rsid w:val="47CD6B11"/>
    <w:rsid w:val="48623479"/>
    <w:rsid w:val="4E8F6D9C"/>
    <w:rsid w:val="511E775C"/>
    <w:rsid w:val="52B12C11"/>
    <w:rsid w:val="52E42ABA"/>
    <w:rsid w:val="560A577F"/>
    <w:rsid w:val="59AD199A"/>
    <w:rsid w:val="5DE2308D"/>
    <w:rsid w:val="5FFE62FF"/>
    <w:rsid w:val="600B2810"/>
    <w:rsid w:val="608B64F2"/>
    <w:rsid w:val="61E00817"/>
    <w:rsid w:val="63043D6E"/>
    <w:rsid w:val="65AA1E5E"/>
    <w:rsid w:val="679267A2"/>
    <w:rsid w:val="6838635A"/>
    <w:rsid w:val="68D129B7"/>
    <w:rsid w:val="69B7323F"/>
    <w:rsid w:val="69F15995"/>
    <w:rsid w:val="6AE770EE"/>
    <w:rsid w:val="6CF76D1C"/>
    <w:rsid w:val="71C12CCC"/>
    <w:rsid w:val="725B3AAE"/>
    <w:rsid w:val="726B4EC7"/>
    <w:rsid w:val="72C47306"/>
    <w:rsid w:val="735F5345"/>
    <w:rsid w:val="75B83AD4"/>
    <w:rsid w:val="777770F2"/>
    <w:rsid w:val="7983684E"/>
    <w:rsid w:val="7BCC7955"/>
    <w:rsid w:val="7D34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qFormat="1" w:unhideWhenUsed="0" w:uiPriority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5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qFormat/>
    <w:uiPriority w:val="0"/>
    <w:pPr>
      <w:widowControl/>
      <w:spacing w:after="200" w:line="276" w:lineRule="auto"/>
      <w:jc w:val="left"/>
    </w:pPr>
    <w:rPr>
      <w:kern w:val="0"/>
      <w:sz w:val="22"/>
      <w:szCs w:val="22"/>
    </w:rPr>
  </w:style>
  <w:style w:type="paragraph" w:styleId="3">
    <w:name w:val="toc 5"/>
    <w:basedOn w:val="1"/>
    <w:next w:val="1"/>
    <w:semiHidden/>
    <w:qFormat/>
    <w:uiPriority w:val="0"/>
    <w:pPr>
      <w:ind w:left="1680" w:leftChars="8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402</Characters>
  <Lines>3</Lines>
  <Paragraphs>1</Paragraphs>
  <TotalTime>2</TotalTime>
  <ScaleCrop>false</ScaleCrop>
  <LinksUpToDate>false</LinksUpToDate>
  <CharactersWithSpaces>471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Administrator</cp:lastModifiedBy>
  <dcterms:modified xsi:type="dcterms:W3CDTF">2021-06-15T06:18:49Z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55CFEFF76E874A248B8185A461E1AA08</vt:lpwstr>
  </property>
</Properties>
</file>