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2240A4D8" w:rsidR="00AB5DD7" w:rsidRPr="00AB5DD7" w:rsidRDefault="00F57035" w:rsidP="00F44444">
            <w:pPr>
              <w:rPr>
                <w:rFonts w:ascii="宋体" w:eastAsia="宋体" w:hAnsi="宋体"/>
                <w:sz w:val="24"/>
              </w:rPr>
            </w:pPr>
            <w:r>
              <w:rPr>
                <w:rFonts w:ascii="宋体" w:eastAsia="宋体" w:hAnsi="宋体" w:hint="eastAsia"/>
                <w:sz w:val="24"/>
              </w:rPr>
              <w:t>71040800</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2500BB87" w:rsidR="00AB5DD7" w:rsidRPr="00AB5DD7" w:rsidRDefault="00F57035" w:rsidP="00F44444">
            <w:pPr>
              <w:rPr>
                <w:rFonts w:ascii="宋体" w:eastAsia="宋体" w:hAnsi="宋体"/>
                <w:sz w:val="24"/>
              </w:rPr>
            </w:pPr>
            <w:r>
              <w:rPr>
                <w:rFonts w:ascii="宋体" w:eastAsia="宋体" w:hAnsi="宋体" w:hint="eastAsia"/>
                <w:sz w:val="24"/>
              </w:rPr>
              <w:t>陈子欣</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55CA0983" w:rsidR="00AB5DD7" w:rsidRPr="00AB5DD7" w:rsidRDefault="00F57035" w:rsidP="00F44444">
            <w:pPr>
              <w:rPr>
                <w:rFonts w:ascii="宋体" w:eastAsia="宋体" w:hAnsi="宋体"/>
                <w:sz w:val="24"/>
              </w:rPr>
            </w:pPr>
            <w:r>
              <w:rPr>
                <w:rFonts w:ascii="宋体" w:eastAsia="宋体" w:hAnsi="宋体" w:hint="eastAsia"/>
                <w:sz w:val="24"/>
              </w:rPr>
              <w:t>广州</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549D0A53" w:rsidR="00AB5DD7" w:rsidRPr="00AB5DD7" w:rsidRDefault="00F57035" w:rsidP="00F44444">
            <w:pPr>
              <w:rPr>
                <w:rFonts w:ascii="宋体" w:eastAsia="宋体" w:hAnsi="宋体"/>
                <w:sz w:val="24"/>
              </w:rPr>
            </w:pPr>
            <w:r>
              <w:rPr>
                <w:rFonts w:ascii="宋体" w:eastAsia="宋体" w:hAnsi="宋体" w:hint="eastAsia"/>
                <w:sz w:val="24"/>
              </w:rPr>
              <w:t>世界经济</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27A1FD60" w:rsidR="00AB5DD7" w:rsidRPr="00AB5DD7" w:rsidRDefault="00F57035" w:rsidP="00AB5DD7">
            <w:pPr>
              <w:rPr>
                <w:rFonts w:ascii="宋体" w:eastAsia="宋体" w:hAnsi="宋体"/>
                <w:sz w:val="24"/>
              </w:rPr>
            </w:pPr>
            <w:r>
              <w:rPr>
                <w:rFonts w:ascii="宋体" w:eastAsia="宋体" w:hAnsi="宋体" w:hint="eastAsia"/>
                <w:sz w:val="24"/>
              </w:rPr>
              <w:t>15099978165</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778353EF" w:rsidR="00AB5DD7" w:rsidRPr="00AB5DD7" w:rsidRDefault="00F57035" w:rsidP="00AB5DD7">
            <w:pPr>
              <w:rPr>
                <w:rFonts w:ascii="宋体" w:eastAsia="宋体" w:hAnsi="宋体"/>
                <w:sz w:val="24"/>
              </w:rPr>
            </w:pPr>
            <w:r>
              <w:rPr>
                <w:rFonts w:ascii="宋体" w:eastAsia="宋体" w:hAnsi="宋体" w:hint="eastAsia"/>
                <w:sz w:val="24"/>
              </w:rPr>
              <w:t>593451683@qq.com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18F5D862" w:rsidR="00AB5DD7" w:rsidRPr="00AB5DD7" w:rsidRDefault="00F57035" w:rsidP="00AB5DD7">
            <w:pPr>
              <w:rPr>
                <w:rFonts w:ascii="宋体" w:eastAsia="宋体" w:hAnsi="宋体"/>
                <w:sz w:val="24"/>
              </w:rPr>
            </w:pPr>
            <w:r>
              <w:rPr>
                <w:rFonts w:ascii="宋体" w:eastAsia="宋体" w:hAnsi="宋体" w:hint="eastAsia"/>
                <w:sz w:val="24"/>
              </w:rPr>
              <w:t>中南财经政法大学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4A832E47" w:rsidR="00AB5DD7" w:rsidRPr="00AB5DD7" w:rsidRDefault="00F57035" w:rsidP="00AB5DD7">
            <w:pPr>
              <w:rPr>
                <w:rFonts w:ascii="宋体" w:eastAsia="宋体" w:hAnsi="宋体"/>
                <w:sz w:val="24"/>
              </w:rPr>
            </w:pPr>
            <w:r>
              <w:rPr>
                <w:rFonts w:ascii="宋体" w:eastAsia="宋体" w:hAnsi="宋体" w:hint="eastAsia"/>
                <w:sz w:val="24"/>
              </w:rPr>
              <w:t>汉语言文学</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15287456" w:rsidR="00AB5DD7" w:rsidRPr="00AB5DD7" w:rsidRDefault="00F57035" w:rsidP="00AB5DD7">
            <w:pPr>
              <w:rPr>
                <w:rFonts w:ascii="宋体" w:eastAsia="宋体" w:hAnsi="宋体"/>
                <w:sz w:val="24"/>
              </w:rPr>
            </w:pPr>
            <w:r>
              <w:rPr>
                <w:rFonts w:ascii="宋体" w:eastAsia="宋体" w:hAnsi="宋体" w:hint="eastAsia"/>
                <w:sz w:val="24"/>
              </w:rPr>
              <w:t>中国工商银行广州分行</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437D1041" w:rsidR="00AB5DD7" w:rsidRPr="00AB5DD7" w:rsidRDefault="00F57035" w:rsidP="00AB5DD7">
            <w:pPr>
              <w:rPr>
                <w:rFonts w:ascii="宋体" w:eastAsia="宋体" w:hAnsi="宋体"/>
                <w:sz w:val="24"/>
              </w:rPr>
            </w:pPr>
            <w:r>
              <w:rPr>
                <w:rFonts w:ascii="宋体" w:eastAsia="宋体" w:hAnsi="宋体" w:hint="eastAsia"/>
                <w:sz w:val="24"/>
              </w:rPr>
              <w:t>项目经理</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6740051A" w14:textId="3E81D8F0" w:rsidR="00AB5DD7" w:rsidRPr="00AB5DD7" w:rsidRDefault="006845DC" w:rsidP="0030654A">
            <w:pPr>
              <w:rPr>
                <w:rFonts w:ascii="宋体" w:eastAsia="宋体" w:hAnsi="宋体"/>
                <w:sz w:val="24"/>
              </w:rPr>
            </w:pPr>
            <w:r>
              <w:rPr>
                <w:rFonts w:ascii="宋体" w:eastAsia="宋体" w:hAnsi="宋体" w:hint="eastAsia"/>
                <w:sz w:val="24"/>
              </w:rPr>
              <w:t xml:space="preserve">    </w:t>
            </w:r>
            <w:r w:rsidR="00753173">
              <w:rPr>
                <w:rFonts w:ascii="宋体" w:eastAsia="宋体" w:hAnsi="宋体" w:hint="eastAsia"/>
                <w:sz w:val="24"/>
              </w:rPr>
              <w:t>本人陈子欣，</w:t>
            </w:r>
            <w:r w:rsidR="0030654A">
              <w:rPr>
                <w:rFonts w:ascii="宋体" w:eastAsia="宋体" w:hAnsi="宋体" w:hint="eastAsia"/>
                <w:sz w:val="24"/>
              </w:rPr>
              <w:t>女，</w:t>
            </w:r>
            <w:r w:rsidR="00AB6544">
              <w:rPr>
                <w:rFonts w:ascii="宋体" w:eastAsia="宋体" w:hAnsi="宋体" w:hint="eastAsia"/>
                <w:sz w:val="24"/>
              </w:rPr>
              <w:t>中共党员，</w:t>
            </w:r>
            <w:r w:rsidR="00753173">
              <w:rPr>
                <w:rFonts w:ascii="宋体" w:eastAsia="宋体" w:hAnsi="宋体" w:hint="eastAsia"/>
                <w:sz w:val="24"/>
              </w:rPr>
              <w:t>1991年11月</w:t>
            </w:r>
            <w:r w:rsidR="00BC414F">
              <w:rPr>
                <w:rFonts w:ascii="宋体" w:eastAsia="宋体" w:hAnsi="宋体" w:hint="eastAsia"/>
                <w:sz w:val="24"/>
              </w:rPr>
              <w:t>出生，</w:t>
            </w:r>
            <w:r>
              <w:rPr>
                <w:rFonts w:ascii="宋体" w:eastAsia="宋体" w:hAnsi="宋体" w:hint="eastAsia"/>
                <w:sz w:val="24"/>
              </w:rPr>
              <w:t>2014</w:t>
            </w:r>
            <w:r w:rsidR="00753173">
              <w:rPr>
                <w:rFonts w:ascii="宋体" w:eastAsia="宋体" w:hAnsi="宋体" w:hint="eastAsia"/>
                <w:sz w:val="24"/>
              </w:rPr>
              <w:t>年毕业于中南财经政法大学汉语言文学专业</w:t>
            </w:r>
            <w:r>
              <w:rPr>
                <w:rFonts w:ascii="宋体" w:eastAsia="宋体" w:hAnsi="宋体" w:hint="eastAsia"/>
                <w:sz w:val="24"/>
              </w:rPr>
              <w:t>。2014年7月起</w:t>
            </w:r>
            <w:r w:rsidR="0030654A">
              <w:rPr>
                <w:rFonts w:ascii="宋体" w:eastAsia="宋体" w:hAnsi="宋体" w:hint="eastAsia"/>
                <w:sz w:val="24"/>
              </w:rPr>
              <w:t>至今</w:t>
            </w:r>
            <w:r>
              <w:rPr>
                <w:rFonts w:ascii="宋体" w:eastAsia="宋体" w:hAnsi="宋体" w:hint="eastAsia"/>
                <w:sz w:val="24"/>
              </w:rPr>
              <w:t>就业于中国工商银行广州分行</w:t>
            </w:r>
            <w:r w:rsidR="00AB6544">
              <w:rPr>
                <w:rFonts w:ascii="宋体" w:eastAsia="宋体" w:hAnsi="宋体" w:hint="eastAsia"/>
                <w:sz w:val="24"/>
              </w:rPr>
              <w:t>银行卡中心</w:t>
            </w:r>
            <w:r>
              <w:rPr>
                <w:rFonts w:ascii="宋体" w:eastAsia="宋体" w:hAnsi="宋体" w:hint="eastAsia"/>
                <w:sz w:val="24"/>
              </w:rPr>
              <w:t>，负责广州地区</w:t>
            </w:r>
            <w:r w:rsidR="0030654A">
              <w:rPr>
                <w:rFonts w:ascii="宋体" w:eastAsia="宋体" w:hAnsi="宋体" w:hint="eastAsia"/>
                <w:sz w:val="24"/>
              </w:rPr>
              <w:t>工银信用卡的业务管理</w:t>
            </w:r>
            <w:r w:rsidR="00AB6544">
              <w:rPr>
                <w:rFonts w:ascii="宋体" w:eastAsia="宋体" w:hAnsi="宋体" w:hint="eastAsia"/>
                <w:sz w:val="24"/>
              </w:rPr>
              <w:t>及</w:t>
            </w:r>
            <w:r w:rsidR="0030654A">
              <w:rPr>
                <w:rFonts w:ascii="宋体" w:eastAsia="宋体" w:hAnsi="宋体" w:hint="eastAsia"/>
                <w:sz w:val="24"/>
              </w:rPr>
              <w:t>市场拓展，工作业绩及能力获得领导同事一致认可，连续四年年度考核</w:t>
            </w:r>
            <w:r w:rsidR="00AB6544">
              <w:rPr>
                <w:rFonts w:ascii="宋体" w:eastAsia="宋体" w:hAnsi="宋体" w:hint="eastAsia"/>
                <w:sz w:val="24"/>
              </w:rPr>
              <w:t>优秀，曾获2020年广州分行工银成就奖等多项奖项。</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0F3A3941" w:rsidR="00AB5DD7" w:rsidRPr="00AB5DD7" w:rsidRDefault="00A32456" w:rsidP="00F57035">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1908A938" w:rsidR="00AB5DD7" w:rsidRPr="00AB5DD7" w:rsidRDefault="00F57035"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4CC704F3" w:rsidR="00AB5DD7" w:rsidRPr="00AB5DD7" w:rsidRDefault="00C3209E" w:rsidP="00AB5DD7">
            <w:pPr>
              <w:rPr>
                <w:rFonts w:ascii="宋体" w:eastAsia="宋体" w:hAnsi="宋体"/>
                <w:sz w:val="24"/>
              </w:rPr>
            </w:pPr>
            <w:r>
              <w:rPr>
                <w:rFonts w:ascii="宋体" w:eastAsia="宋体" w:hAnsi="宋体" w:hint="eastAsia"/>
                <w:sz w:val="24"/>
              </w:rPr>
              <w:t>《试论经济全球化及中国对策》</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0A15CADA" w:rsidR="00AB5DD7" w:rsidRPr="00AB5DD7" w:rsidRDefault="00C3209E" w:rsidP="00AB5DD7">
            <w:pPr>
              <w:rPr>
                <w:rFonts w:ascii="宋体" w:eastAsia="宋体" w:hAnsi="宋体"/>
                <w:sz w:val="24"/>
              </w:rPr>
            </w:pPr>
            <w:r>
              <w:rPr>
                <w:rFonts w:ascii="宋体" w:eastAsia="宋体" w:hAnsi="宋体" w:hint="eastAsia"/>
                <w:sz w:val="24"/>
              </w:rPr>
              <w:t>《中国科技人才》（国际标准刊号：ISSN:2095-8951；国内统一刊号：CN：10-1256/G3</w:t>
            </w:r>
            <w:r>
              <w:rPr>
                <w:rFonts w:ascii="宋体" w:eastAsia="宋体" w:hAnsi="宋体"/>
                <w:sz w:val="24"/>
              </w:rPr>
              <w:t>）</w:t>
            </w:r>
          </w:p>
        </w:tc>
      </w:tr>
      <w:tr w:rsidR="001D4ABC" w:rsidRPr="00AB5DD7" w14:paraId="7128894E" w14:textId="77777777" w:rsidTr="001D4ABC">
        <w:trPr>
          <w:trHeight w:val="3156"/>
          <w:jc w:val="center"/>
        </w:trPr>
        <w:tc>
          <w:tcPr>
            <w:tcW w:w="2362" w:type="dxa"/>
            <w:vAlign w:val="center"/>
          </w:tcPr>
          <w:p w14:paraId="60CB9906" w14:textId="525129BF"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1F6010E9" w:rsidR="001D4ABC" w:rsidRDefault="00B074F5" w:rsidP="00C53353">
            <w:pPr>
              <w:rPr>
                <w:rFonts w:ascii="宋体" w:eastAsia="宋体" w:hAnsi="宋体"/>
                <w:sz w:val="24"/>
              </w:rPr>
            </w:pPr>
            <w:r>
              <w:rPr>
                <w:rFonts w:ascii="宋体" w:eastAsia="宋体" w:hAnsi="宋体" w:hint="eastAsia"/>
                <w:sz w:val="24"/>
              </w:rPr>
              <w:t>经济全球化是当代世界经济的重要特征之一，也是世界经济发展的重要趋势。经济全球化的过程早已开始，尤其是20世界80年代以后，特别是进入20世纪90年代，世界经济全球化的进程大大加快了。经济全球化有利于资源和生产要素在全球的合理配置，后利于资本和产品在全球性流动，有利于科技在全球性的扩张，有利于促进不发达地区经济的发展，是人类发展进步的表现，是世界经济发展的必然结果，但它对每个国家来说，都是一刀两刃。</w:t>
            </w:r>
            <w:r w:rsidR="00C53353">
              <w:rPr>
                <w:rFonts w:ascii="宋体" w:eastAsia="宋体" w:hAnsi="宋体" w:hint="eastAsia"/>
                <w:sz w:val="24"/>
              </w:rPr>
              <w:t>文章主要分析了经济全球化对中国政治、经济方面的影响，带来的机遇和挑战，以及应对策略。</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B866BB">
        <w:trPr>
          <w:trHeight w:val="2221"/>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65D6407C" w14:textId="2EDFCDA2" w:rsidR="00141111" w:rsidRPr="00141111" w:rsidRDefault="00141111" w:rsidP="00141111">
            <w:pPr>
              <w:rPr>
                <w:rFonts w:ascii="宋体" w:eastAsia="宋体" w:hAnsi="宋体"/>
                <w:color w:val="000000" w:themeColor="text1"/>
                <w:sz w:val="24"/>
              </w:rPr>
            </w:pPr>
            <w:r w:rsidRPr="00141111">
              <w:rPr>
                <w:rFonts w:ascii="宋体" w:eastAsia="宋体" w:hAnsi="宋体"/>
                <w:color w:val="000000" w:themeColor="text1"/>
                <w:sz w:val="24"/>
              </w:rPr>
              <w:t>一是分析</w:t>
            </w:r>
            <w:r w:rsidR="00F87FA2">
              <w:rPr>
                <w:rFonts w:ascii="宋体" w:eastAsia="宋体" w:hAnsi="宋体" w:hint="eastAsia"/>
                <w:color w:val="000000" w:themeColor="text1"/>
                <w:sz w:val="24"/>
              </w:rPr>
              <w:t>跨境支付业务发展程度量化标准</w:t>
            </w:r>
            <w:r w:rsidRPr="00141111">
              <w:rPr>
                <w:rFonts w:ascii="宋体" w:eastAsia="宋体" w:hAnsi="宋体"/>
                <w:color w:val="000000" w:themeColor="text1"/>
                <w:sz w:val="24"/>
              </w:rPr>
              <w:t>；</w:t>
            </w:r>
          </w:p>
          <w:p w14:paraId="6774B4F4" w14:textId="3FEBFA45" w:rsidR="00141111" w:rsidRPr="00141111" w:rsidRDefault="00141111" w:rsidP="00141111">
            <w:pPr>
              <w:rPr>
                <w:rFonts w:ascii="宋体" w:eastAsia="宋体" w:hAnsi="宋体"/>
                <w:color w:val="000000" w:themeColor="text1"/>
                <w:sz w:val="24"/>
              </w:rPr>
            </w:pPr>
            <w:r w:rsidRPr="00141111">
              <w:rPr>
                <w:rFonts w:ascii="宋体" w:eastAsia="宋体" w:hAnsi="宋体"/>
                <w:color w:val="000000" w:themeColor="text1"/>
                <w:sz w:val="24"/>
              </w:rPr>
              <w:t>二是分析</w:t>
            </w:r>
            <w:r w:rsidR="00F87FA2">
              <w:rPr>
                <w:rFonts w:ascii="宋体" w:eastAsia="宋体" w:hAnsi="宋体" w:hint="eastAsia"/>
                <w:color w:val="000000" w:themeColor="text1"/>
                <w:sz w:val="24"/>
              </w:rPr>
              <w:t>不同时期下，跨境支付业务不同发展程度对中国居民境外消费产生的影响</w:t>
            </w:r>
            <w:r w:rsidRPr="00141111">
              <w:rPr>
                <w:rFonts w:ascii="宋体" w:eastAsia="宋体" w:hAnsi="宋体"/>
                <w:color w:val="000000" w:themeColor="text1"/>
                <w:sz w:val="24"/>
              </w:rPr>
              <w:t>；</w:t>
            </w:r>
          </w:p>
          <w:p w14:paraId="36E23F96" w14:textId="69F1D16D" w:rsidR="00AB5DD7" w:rsidRPr="00141111" w:rsidRDefault="00141111" w:rsidP="00141111">
            <w:pPr>
              <w:rPr>
                <w:rFonts w:ascii="宋体" w:eastAsia="宋体" w:hAnsi="宋体"/>
                <w:color w:val="000000" w:themeColor="text1"/>
                <w:sz w:val="24"/>
              </w:rPr>
            </w:pPr>
            <w:r w:rsidRPr="00141111">
              <w:rPr>
                <w:rFonts w:ascii="宋体" w:eastAsia="宋体" w:hAnsi="宋体"/>
                <w:color w:val="000000" w:themeColor="text1"/>
                <w:sz w:val="24"/>
              </w:rPr>
              <w:t>三是根据</w:t>
            </w:r>
            <w:r w:rsidR="0019340A">
              <w:rPr>
                <w:rFonts w:ascii="宋体" w:eastAsia="宋体" w:hAnsi="宋体" w:hint="eastAsia"/>
                <w:color w:val="000000" w:themeColor="text1"/>
                <w:sz w:val="24"/>
              </w:rPr>
              <w:t>对影响机制</w:t>
            </w:r>
            <w:r w:rsidRPr="00141111">
              <w:rPr>
                <w:rFonts w:ascii="宋体" w:eastAsia="宋体" w:hAnsi="宋体"/>
                <w:color w:val="000000" w:themeColor="text1"/>
                <w:sz w:val="24"/>
              </w:rPr>
              <w:t>的分析，探讨</w:t>
            </w:r>
            <w:r w:rsidR="0019340A">
              <w:rPr>
                <w:rFonts w:ascii="宋体" w:eastAsia="宋体" w:hAnsi="宋体" w:hint="eastAsia"/>
                <w:color w:val="000000" w:themeColor="text1"/>
                <w:sz w:val="24"/>
              </w:rPr>
              <w:t>跨境支付业务对中国居民境外消费是否产生积极影响，并如何利用其影响关系优化居民消费结构</w:t>
            </w:r>
            <w:r w:rsidRPr="00141111">
              <w:rPr>
                <w:rFonts w:ascii="宋体" w:eastAsia="宋体" w:hAnsi="宋体"/>
                <w:color w:val="000000" w:themeColor="text1"/>
                <w:sz w:val="24"/>
              </w:rPr>
              <w:t>。</w:t>
            </w:r>
          </w:p>
        </w:tc>
      </w:tr>
      <w:tr w:rsidR="00AB5DD7" w:rsidRPr="00AB5DD7" w14:paraId="1EF62B7C" w14:textId="77777777" w:rsidTr="00CA2520">
        <w:trPr>
          <w:trHeight w:val="2178"/>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43BF5A40" w14:textId="0FFDA8C5" w:rsidR="00CA2520" w:rsidRPr="00141111" w:rsidRDefault="00F87FA2" w:rsidP="00F87FA2">
            <w:pPr>
              <w:ind w:firstLine="480"/>
              <w:rPr>
                <w:rFonts w:ascii="宋体" w:eastAsia="宋体" w:hAnsi="宋体"/>
                <w:color w:val="000000" w:themeColor="text1"/>
                <w:sz w:val="24"/>
              </w:rPr>
            </w:pPr>
            <w:r>
              <w:rPr>
                <w:rFonts w:ascii="宋体" w:eastAsia="宋体" w:hAnsi="宋体" w:hint="eastAsia"/>
                <w:color w:val="000000" w:themeColor="text1"/>
                <w:sz w:val="24"/>
              </w:rPr>
              <w:t>随着中国改革开放程度的加深，我国对外贸易快速发展，跨境支付业务也随之发展，跨境支付产品不断丰富，业务覆盖范围不断扩大，对中国居民境外消费产生了深远影响。本文主要探讨跨境支付业务的发展程度对中国居民境外消费产生何种影响，运用计量模型分析各因素的作用机制和影响关系</w:t>
            </w:r>
            <w:r w:rsidR="009C2F2C" w:rsidRPr="00141111">
              <w:rPr>
                <w:rFonts w:ascii="宋体" w:eastAsia="宋体" w:hAnsi="宋体" w:hint="eastAsia"/>
                <w:color w:val="000000" w:themeColor="text1"/>
                <w:sz w:val="24"/>
              </w:rPr>
              <w:t>。</w:t>
            </w:r>
          </w:p>
        </w:tc>
      </w:tr>
      <w:tr w:rsidR="00AB5DD7" w:rsidRPr="00AB5DD7" w14:paraId="73D8F8D0" w14:textId="77777777" w:rsidTr="00B866BB">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48A4C2FB" w14:textId="0B3354D7" w:rsidR="00AB5DD7" w:rsidRPr="00141111" w:rsidRDefault="00F87FA2" w:rsidP="00A83EDF">
            <w:pPr>
              <w:rPr>
                <w:rFonts w:ascii="宋体" w:eastAsia="宋体" w:hAnsi="宋体"/>
                <w:color w:val="000000" w:themeColor="text1"/>
                <w:sz w:val="24"/>
              </w:rPr>
            </w:pPr>
            <w:r>
              <w:rPr>
                <w:rFonts w:ascii="宋体" w:eastAsia="宋体" w:hAnsi="宋体" w:hint="eastAsia"/>
                <w:color w:val="000000" w:themeColor="text1"/>
                <w:sz w:val="24"/>
              </w:rPr>
              <w:t>跨境支付业务发展程度对中国居民境外消费的影响研究</w:t>
            </w:r>
          </w:p>
        </w:tc>
      </w:tr>
      <w:tr w:rsidR="00AB5DD7" w:rsidRPr="00AB5DD7" w14:paraId="6C236ECD" w14:textId="77777777" w:rsidTr="00B866BB">
        <w:trPr>
          <w:trHeight w:val="1662"/>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43BBDE85" w14:textId="19547FBF" w:rsidR="00AB5DD7" w:rsidRPr="00A605D9" w:rsidRDefault="00167539" w:rsidP="00167539">
            <w:pPr>
              <w:pStyle w:val="a3"/>
              <w:numPr>
                <w:ilvl w:val="0"/>
                <w:numId w:val="1"/>
              </w:numPr>
              <w:ind w:firstLineChars="0"/>
              <w:rPr>
                <w:rFonts w:ascii="宋体" w:eastAsia="宋体" w:hAnsi="宋体"/>
                <w:b/>
                <w:sz w:val="24"/>
              </w:rPr>
            </w:pPr>
            <w:r w:rsidRPr="00A605D9">
              <w:rPr>
                <w:rFonts w:ascii="宋体" w:eastAsia="宋体" w:hAnsi="宋体" w:hint="eastAsia"/>
                <w:b/>
                <w:sz w:val="24"/>
              </w:rPr>
              <w:t>绪论</w:t>
            </w:r>
          </w:p>
          <w:p w14:paraId="0E8FD676" w14:textId="3F23242A" w:rsidR="00167539" w:rsidRPr="00167539" w:rsidRDefault="00167539" w:rsidP="00167539">
            <w:pPr>
              <w:pStyle w:val="a3"/>
              <w:numPr>
                <w:ilvl w:val="1"/>
                <w:numId w:val="2"/>
              </w:numPr>
              <w:ind w:firstLineChars="0"/>
              <w:rPr>
                <w:rFonts w:ascii="宋体" w:eastAsia="宋体" w:hAnsi="宋体"/>
                <w:sz w:val="24"/>
              </w:rPr>
            </w:pPr>
            <w:r w:rsidRPr="00167539">
              <w:rPr>
                <w:rFonts w:ascii="宋体" w:eastAsia="宋体" w:hAnsi="宋体" w:hint="eastAsia"/>
                <w:sz w:val="24"/>
              </w:rPr>
              <w:t>研究背景</w:t>
            </w:r>
          </w:p>
          <w:p w14:paraId="06762BAF" w14:textId="77777777" w:rsidR="00167539" w:rsidRDefault="00167539" w:rsidP="00167539">
            <w:pPr>
              <w:pStyle w:val="a3"/>
              <w:numPr>
                <w:ilvl w:val="1"/>
                <w:numId w:val="2"/>
              </w:numPr>
              <w:ind w:firstLineChars="0"/>
              <w:rPr>
                <w:rFonts w:ascii="宋体" w:eastAsia="宋体" w:hAnsi="宋体"/>
                <w:sz w:val="24"/>
              </w:rPr>
            </w:pPr>
            <w:r>
              <w:rPr>
                <w:rFonts w:ascii="宋体" w:eastAsia="宋体" w:hAnsi="宋体" w:hint="eastAsia"/>
                <w:sz w:val="24"/>
              </w:rPr>
              <w:t>研究意义</w:t>
            </w:r>
          </w:p>
          <w:p w14:paraId="009A7DFC" w14:textId="77777777" w:rsidR="00167539" w:rsidRDefault="00167539" w:rsidP="00167539">
            <w:pPr>
              <w:pStyle w:val="a3"/>
              <w:numPr>
                <w:ilvl w:val="1"/>
                <w:numId w:val="2"/>
              </w:numPr>
              <w:ind w:firstLineChars="0"/>
              <w:rPr>
                <w:rFonts w:ascii="宋体" w:eastAsia="宋体" w:hAnsi="宋体"/>
                <w:sz w:val="24"/>
              </w:rPr>
            </w:pPr>
            <w:r>
              <w:rPr>
                <w:rFonts w:ascii="宋体" w:eastAsia="宋体" w:hAnsi="宋体" w:hint="eastAsia"/>
                <w:sz w:val="24"/>
              </w:rPr>
              <w:t>研究思路</w:t>
            </w:r>
          </w:p>
          <w:p w14:paraId="12FAB8B9" w14:textId="77777777" w:rsidR="00167539" w:rsidRDefault="00167539" w:rsidP="00167539">
            <w:pPr>
              <w:pStyle w:val="a3"/>
              <w:numPr>
                <w:ilvl w:val="1"/>
                <w:numId w:val="2"/>
              </w:numPr>
              <w:ind w:firstLineChars="0"/>
              <w:rPr>
                <w:rFonts w:ascii="宋体" w:eastAsia="宋体" w:hAnsi="宋体"/>
                <w:sz w:val="24"/>
              </w:rPr>
            </w:pPr>
            <w:r>
              <w:rPr>
                <w:rFonts w:ascii="宋体" w:eastAsia="宋体" w:hAnsi="宋体" w:hint="eastAsia"/>
                <w:sz w:val="24"/>
              </w:rPr>
              <w:t>本文的创新之处与不足之处</w:t>
            </w:r>
          </w:p>
          <w:p w14:paraId="28FE7BE5" w14:textId="45E3D72F" w:rsidR="00167539" w:rsidRPr="00A605D9" w:rsidRDefault="00167539" w:rsidP="00167539">
            <w:pPr>
              <w:pStyle w:val="a3"/>
              <w:numPr>
                <w:ilvl w:val="0"/>
                <w:numId w:val="1"/>
              </w:numPr>
              <w:ind w:firstLineChars="0"/>
              <w:rPr>
                <w:rFonts w:ascii="宋体" w:eastAsia="宋体" w:hAnsi="宋体"/>
                <w:b/>
                <w:sz w:val="24"/>
              </w:rPr>
            </w:pPr>
            <w:r w:rsidRPr="00A605D9">
              <w:rPr>
                <w:rFonts w:ascii="宋体" w:eastAsia="宋体" w:hAnsi="宋体" w:hint="eastAsia"/>
                <w:b/>
                <w:sz w:val="24"/>
              </w:rPr>
              <w:t>文献综述与理论基础</w:t>
            </w:r>
          </w:p>
          <w:p w14:paraId="172EBCA7" w14:textId="77777777" w:rsidR="00167539" w:rsidRDefault="00167539" w:rsidP="00167539">
            <w:pPr>
              <w:rPr>
                <w:rFonts w:ascii="宋体" w:eastAsia="宋体" w:hAnsi="宋体"/>
                <w:sz w:val="24"/>
              </w:rPr>
            </w:pPr>
            <w:r>
              <w:rPr>
                <w:rFonts w:ascii="宋体" w:eastAsia="宋体" w:hAnsi="宋体" w:hint="eastAsia"/>
                <w:sz w:val="24"/>
              </w:rPr>
              <w:t>2.1 基本概念</w:t>
            </w:r>
          </w:p>
          <w:p w14:paraId="3BFA0ACC" w14:textId="77777777" w:rsidR="00167539" w:rsidRDefault="00167539" w:rsidP="00167539">
            <w:pPr>
              <w:rPr>
                <w:rFonts w:ascii="宋体" w:eastAsia="宋体" w:hAnsi="宋体"/>
                <w:sz w:val="24"/>
              </w:rPr>
            </w:pPr>
            <w:r>
              <w:rPr>
                <w:rFonts w:ascii="宋体" w:eastAsia="宋体" w:hAnsi="宋体" w:hint="eastAsia"/>
                <w:sz w:val="24"/>
              </w:rPr>
              <w:t>2.2 文献综述</w:t>
            </w:r>
          </w:p>
          <w:p w14:paraId="10BC96A3" w14:textId="00BD4382" w:rsidR="00167539" w:rsidRPr="00A605D9" w:rsidRDefault="00167539" w:rsidP="00050627">
            <w:pPr>
              <w:rPr>
                <w:rFonts w:ascii="宋体" w:eastAsia="宋体" w:hAnsi="宋体"/>
                <w:b/>
                <w:sz w:val="24"/>
              </w:rPr>
            </w:pPr>
            <w:r w:rsidRPr="00A605D9">
              <w:rPr>
                <w:rFonts w:ascii="宋体" w:eastAsia="宋体" w:hAnsi="宋体" w:hint="eastAsia"/>
                <w:b/>
                <w:sz w:val="24"/>
              </w:rPr>
              <w:t xml:space="preserve">第三章 </w:t>
            </w:r>
            <w:r w:rsidR="00A605D9" w:rsidRPr="00A605D9">
              <w:rPr>
                <w:rFonts w:ascii="宋体" w:eastAsia="宋体" w:hAnsi="宋体" w:hint="eastAsia"/>
                <w:b/>
                <w:sz w:val="24"/>
              </w:rPr>
              <w:t>市场概述</w:t>
            </w:r>
            <w:r w:rsidR="00050627" w:rsidRPr="00A605D9">
              <w:rPr>
                <w:rFonts w:ascii="宋体" w:eastAsia="宋体" w:hAnsi="宋体" w:hint="eastAsia"/>
                <w:b/>
                <w:sz w:val="24"/>
              </w:rPr>
              <w:t>描述性统计</w:t>
            </w:r>
          </w:p>
          <w:p w14:paraId="484A5371" w14:textId="42617E16" w:rsidR="00A605D9" w:rsidRDefault="00A605D9" w:rsidP="00A605D9">
            <w:pPr>
              <w:rPr>
                <w:rFonts w:ascii="宋体" w:eastAsia="宋体" w:hAnsi="宋体" w:hint="eastAsia"/>
                <w:sz w:val="24"/>
              </w:rPr>
            </w:pPr>
            <w:r>
              <w:rPr>
                <w:rFonts w:ascii="宋体" w:eastAsia="宋体" w:hAnsi="宋体" w:hint="eastAsia"/>
                <w:sz w:val="24"/>
              </w:rPr>
              <w:t>3.1</w:t>
            </w:r>
            <w:r w:rsidR="00E92A94">
              <w:rPr>
                <w:rFonts w:ascii="宋体" w:eastAsia="宋体" w:hAnsi="宋体"/>
                <w:sz w:val="24"/>
              </w:rPr>
              <w:t xml:space="preserve"> </w:t>
            </w:r>
            <w:r w:rsidR="007B443F">
              <w:rPr>
                <w:rFonts w:ascii="宋体" w:eastAsia="宋体" w:hAnsi="宋体" w:hint="eastAsia"/>
                <w:sz w:val="24"/>
              </w:rPr>
              <w:t>跨境支付业务</w:t>
            </w:r>
            <w:r w:rsidR="00D378AC">
              <w:rPr>
                <w:rFonts w:ascii="宋体" w:eastAsia="宋体" w:hAnsi="宋体" w:hint="eastAsia"/>
                <w:sz w:val="24"/>
              </w:rPr>
              <w:t>市场概述</w:t>
            </w:r>
            <w:r w:rsidR="00062F42">
              <w:rPr>
                <w:rFonts w:ascii="宋体" w:eastAsia="宋体" w:hAnsi="宋体" w:hint="eastAsia"/>
                <w:sz w:val="24"/>
              </w:rPr>
              <w:t>及样本选取</w:t>
            </w:r>
          </w:p>
          <w:p w14:paraId="666FF0F0" w14:textId="184DED3C" w:rsidR="00A605D9" w:rsidRDefault="00A605D9" w:rsidP="00A605D9">
            <w:pPr>
              <w:rPr>
                <w:rFonts w:ascii="宋体" w:eastAsia="宋体" w:hAnsi="宋体"/>
                <w:sz w:val="24"/>
              </w:rPr>
            </w:pPr>
            <w:r>
              <w:rPr>
                <w:rFonts w:ascii="宋体" w:eastAsia="宋体" w:hAnsi="宋体" w:hint="eastAsia"/>
                <w:sz w:val="24"/>
              </w:rPr>
              <w:t>3.2 被解释变量</w:t>
            </w:r>
            <w:r w:rsidR="00F87FA2">
              <w:rPr>
                <w:rFonts w:ascii="宋体" w:eastAsia="宋体" w:hAnsi="宋体" w:hint="eastAsia"/>
                <w:sz w:val="24"/>
              </w:rPr>
              <w:t>：中国居民境外消费情况</w:t>
            </w:r>
          </w:p>
          <w:p w14:paraId="6F7B0DB0" w14:textId="7527D937" w:rsidR="00A605D9" w:rsidRDefault="00A605D9" w:rsidP="00A605D9">
            <w:pPr>
              <w:rPr>
                <w:rFonts w:ascii="宋体" w:eastAsia="宋体" w:hAnsi="宋体"/>
                <w:sz w:val="24"/>
              </w:rPr>
            </w:pPr>
            <w:r>
              <w:rPr>
                <w:rFonts w:ascii="宋体" w:eastAsia="宋体" w:hAnsi="宋体" w:hint="eastAsia"/>
                <w:sz w:val="24"/>
              </w:rPr>
              <w:t>3.3 解释变量</w:t>
            </w:r>
            <w:r w:rsidR="00F87FA2">
              <w:rPr>
                <w:rFonts w:ascii="宋体" w:eastAsia="宋体" w:hAnsi="宋体" w:hint="eastAsia"/>
                <w:sz w:val="24"/>
              </w:rPr>
              <w:t>：跨境支付业务发展程度</w:t>
            </w:r>
          </w:p>
          <w:p w14:paraId="2C803F27" w14:textId="60747A3E" w:rsidR="00167539" w:rsidRPr="00A605D9" w:rsidRDefault="00167539" w:rsidP="00167539">
            <w:pPr>
              <w:rPr>
                <w:rFonts w:ascii="宋体" w:eastAsia="宋体" w:hAnsi="宋体"/>
                <w:b/>
                <w:sz w:val="24"/>
              </w:rPr>
            </w:pPr>
            <w:bookmarkStart w:id="0" w:name="_GoBack"/>
            <w:bookmarkEnd w:id="0"/>
            <w:r w:rsidRPr="00A605D9">
              <w:rPr>
                <w:rFonts w:ascii="宋体" w:eastAsia="宋体" w:hAnsi="宋体" w:hint="eastAsia"/>
                <w:b/>
                <w:sz w:val="24"/>
              </w:rPr>
              <w:t>第四章 实证分析</w:t>
            </w:r>
          </w:p>
          <w:p w14:paraId="6F82790F" w14:textId="6F08A77C" w:rsidR="00167539" w:rsidRDefault="00167539" w:rsidP="00167539">
            <w:pPr>
              <w:rPr>
                <w:rFonts w:ascii="宋体" w:eastAsia="宋体" w:hAnsi="宋体"/>
                <w:sz w:val="24"/>
              </w:rPr>
            </w:pPr>
            <w:r>
              <w:rPr>
                <w:rFonts w:ascii="宋体" w:eastAsia="宋体" w:hAnsi="宋体" w:hint="eastAsia"/>
                <w:sz w:val="24"/>
              </w:rPr>
              <w:t xml:space="preserve">4.1 </w:t>
            </w:r>
            <w:r w:rsidR="00050627">
              <w:rPr>
                <w:rFonts w:ascii="宋体" w:eastAsia="宋体" w:hAnsi="宋体" w:hint="eastAsia"/>
                <w:sz w:val="24"/>
              </w:rPr>
              <w:t>实证研究方法介绍</w:t>
            </w:r>
          </w:p>
          <w:p w14:paraId="7B4C4472" w14:textId="30BFDA77" w:rsidR="00167539" w:rsidRDefault="00167539" w:rsidP="00167539">
            <w:pPr>
              <w:rPr>
                <w:rFonts w:ascii="宋体" w:eastAsia="宋体" w:hAnsi="宋体"/>
                <w:sz w:val="24"/>
              </w:rPr>
            </w:pPr>
            <w:r>
              <w:rPr>
                <w:rFonts w:ascii="宋体" w:eastAsia="宋体" w:hAnsi="宋体" w:hint="eastAsia"/>
                <w:sz w:val="24"/>
              </w:rPr>
              <w:t>4.2 模型设定</w:t>
            </w:r>
          </w:p>
          <w:p w14:paraId="4B2CC7BE" w14:textId="3F07EECC" w:rsidR="00167539" w:rsidRDefault="00167539" w:rsidP="00167539">
            <w:pPr>
              <w:rPr>
                <w:rFonts w:ascii="宋体" w:eastAsia="宋体" w:hAnsi="宋体"/>
                <w:sz w:val="24"/>
              </w:rPr>
            </w:pPr>
            <w:r>
              <w:rPr>
                <w:rFonts w:ascii="宋体" w:eastAsia="宋体" w:hAnsi="宋体" w:hint="eastAsia"/>
                <w:sz w:val="24"/>
              </w:rPr>
              <w:t>4.3 模型估计与结果分析</w:t>
            </w:r>
          </w:p>
          <w:p w14:paraId="2E60E1E0" w14:textId="7708C8E5" w:rsidR="00167539" w:rsidRDefault="00167539" w:rsidP="00167539">
            <w:pPr>
              <w:rPr>
                <w:rFonts w:ascii="宋体" w:eastAsia="宋体" w:hAnsi="宋体"/>
                <w:sz w:val="24"/>
              </w:rPr>
            </w:pPr>
            <w:r>
              <w:rPr>
                <w:rFonts w:ascii="宋体" w:eastAsia="宋体" w:hAnsi="宋体" w:hint="eastAsia"/>
                <w:sz w:val="24"/>
              </w:rPr>
              <w:t>4.4 稳健性分析</w:t>
            </w:r>
          </w:p>
          <w:p w14:paraId="270FE65D" w14:textId="1C9378AD" w:rsidR="00167539" w:rsidRDefault="00167539" w:rsidP="00167539">
            <w:pPr>
              <w:rPr>
                <w:rFonts w:ascii="宋体" w:eastAsia="宋体" w:hAnsi="宋体"/>
                <w:sz w:val="24"/>
              </w:rPr>
            </w:pPr>
            <w:r>
              <w:rPr>
                <w:rFonts w:ascii="宋体" w:eastAsia="宋体" w:hAnsi="宋体" w:hint="eastAsia"/>
                <w:sz w:val="24"/>
              </w:rPr>
              <w:t>4.5 进一步分析：异质性检验</w:t>
            </w:r>
          </w:p>
          <w:p w14:paraId="60894B94" w14:textId="6CD00273" w:rsidR="00167539" w:rsidRPr="00A605D9" w:rsidRDefault="00167539" w:rsidP="00167539">
            <w:pPr>
              <w:rPr>
                <w:rFonts w:ascii="宋体" w:eastAsia="宋体" w:hAnsi="宋体"/>
                <w:b/>
                <w:sz w:val="24"/>
              </w:rPr>
            </w:pPr>
            <w:r w:rsidRPr="00A605D9">
              <w:rPr>
                <w:rFonts w:ascii="宋体" w:eastAsia="宋体" w:hAnsi="宋体" w:hint="eastAsia"/>
                <w:b/>
                <w:sz w:val="24"/>
              </w:rPr>
              <w:t>第五章 研究结论与政策建议</w:t>
            </w:r>
          </w:p>
          <w:p w14:paraId="02FAEAAB" w14:textId="051DE9F7" w:rsidR="00167539" w:rsidRDefault="00167539" w:rsidP="00167539">
            <w:pPr>
              <w:rPr>
                <w:rFonts w:ascii="宋体" w:eastAsia="宋体" w:hAnsi="宋体"/>
                <w:sz w:val="24"/>
              </w:rPr>
            </w:pPr>
            <w:r>
              <w:rPr>
                <w:rFonts w:ascii="宋体" w:eastAsia="宋体" w:hAnsi="宋体" w:hint="eastAsia"/>
                <w:sz w:val="24"/>
              </w:rPr>
              <w:t>5.1 研究结论</w:t>
            </w:r>
          </w:p>
          <w:p w14:paraId="67A56D10" w14:textId="6E32EE41" w:rsidR="00167539" w:rsidRDefault="00167539" w:rsidP="00167539">
            <w:pPr>
              <w:rPr>
                <w:rFonts w:ascii="宋体" w:eastAsia="宋体" w:hAnsi="宋体"/>
                <w:sz w:val="24"/>
              </w:rPr>
            </w:pPr>
            <w:r>
              <w:rPr>
                <w:rFonts w:ascii="宋体" w:eastAsia="宋体" w:hAnsi="宋体" w:hint="eastAsia"/>
                <w:sz w:val="24"/>
              </w:rPr>
              <w:t>5.2 政策建议</w:t>
            </w:r>
          </w:p>
          <w:p w14:paraId="32EB32FE" w14:textId="76A9FC2C" w:rsidR="00167539" w:rsidRPr="00A605D9" w:rsidRDefault="00167539" w:rsidP="00167539">
            <w:pPr>
              <w:rPr>
                <w:rFonts w:ascii="宋体" w:eastAsia="宋体" w:hAnsi="宋体"/>
                <w:b/>
                <w:sz w:val="24"/>
              </w:rPr>
            </w:pPr>
            <w:r w:rsidRPr="00A605D9">
              <w:rPr>
                <w:rFonts w:ascii="宋体" w:eastAsia="宋体" w:hAnsi="宋体" w:hint="eastAsia"/>
                <w:b/>
                <w:sz w:val="24"/>
              </w:rPr>
              <w:t>参考文献</w:t>
            </w:r>
          </w:p>
          <w:p w14:paraId="77313C9E" w14:textId="36EF5E7B" w:rsidR="00167539" w:rsidRPr="00C77FEB" w:rsidRDefault="00167539" w:rsidP="00C77FEB">
            <w:pPr>
              <w:rPr>
                <w:rFonts w:ascii="宋体" w:eastAsia="宋体" w:hAnsi="宋体"/>
                <w:b/>
                <w:sz w:val="24"/>
              </w:rPr>
            </w:pPr>
            <w:r w:rsidRPr="00A605D9">
              <w:rPr>
                <w:rFonts w:ascii="宋体" w:eastAsia="宋体" w:hAnsi="宋体" w:hint="eastAsia"/>
                <w:b/>
                <w:sz w:val="24"/>
              </w:rPr>
              <w:t>致谢</w:t>
            </w:r>
          </w:p>
        </w:tc>
      </w:tr>
      <w:tr w:rsidR="00AB5DD7" w:rsidRPr="00AB5DD7" w14:paraId="04CFCC3F" w14:textId="77777777" w:rsidTr="00864C7F">
        <w:trPr>
          <w:trHeight w:val="5741"/>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6C417736" w14:textId="302D2D0D" w:rsidR="00BC42F5" w:rsidRDefault="00A35C4C" w:rsidP="00A35C4C">
            <w:pPr>
              <w:widowControl/>
              <w:spacing w:line="432" w:lineRule="atLeast"/>
              <w:rPr>
                <w:rFonts w:ascii="宋体" w:eastAsia="宋体" w:hAnsi="宋体" w:cs="Times New Roman"/>
                <w:color w:val="262626"/>
                <w:kern w:val="0"/>
                <w:szCs w:val="21"/>
              </w:rPr>
            </w:pPr>
            <w:r w:rsidRPr="00A35C4C">
              <w:rPr>
                <w:rFonts w:ascii="宋体" w:eastAsia="宋体" w:hAnsi="宋体" w:cs="Times New Roman"/>
                <w:color w:val="262626"/>
                <w:kern w:val="0"/>
                <w:szCs w:val="21"/>
              </w:rPr>
              <w:tab/>
            </w:r>
            <w:r w:rsidR="009F5DAB">
              <w:rPr>
                <w:rFonts w:ascii="宋体" w:eastAsia="宋体" w:hAnsi="宋体" w:cs="Times New Roman" w:hint="eastAsia"/>
                <w:color w:val="262626"/>
                <w:kern w:val="0"/>
                <w:szCs w:val="21"/>
              </w:rPr>
              <w:t>1、</w:t>
            </w:r>
            <w:r w:rsidR="00BC42F5">
              <w:rPr>
                <w:rFonts w:ascii="宋体" w:eastAsia="宋体" w:hAnsi="宋体" w:cs="Times New Roman" w:hint="eastAsia"/>
                <w:color w:val="262626"/>
                <w:kern w:val="0"/>
                <w:szCs w:val="21"/>
              </w:rPr>
              <w:t>实证分析：美国的消费信贷，现代商业银行，2000年第六期，邓亚平，任小江</w:t>
            </w:r>
          </w:p>
          <w:p w14:paraId="50260903" w14:textId="77777777" w:rsidR="00A35C4C" w:rsidRDefault="00BC42F5" w:rsidP="00A35C4C">
            <w:pPr>
              <w:widowControl/>
              <w:spacing w:line="432" w:lineRule="atLeast"/>
              <w:rPr>
                <w:rFonts w:ascii="宋体" w:eastAsia="宋体" w:hAnsi="宋体" w:cs="Times New Roman"/>
                <w:color w:val="262626"/>
                <w:kern w:val="0"/>
                <w:szCs w:val="21"/>
              </w:rPr>
            </w:pPr>
            <w:r>
              <w:rPr>
                <w:rFonts w:ascii="宋体" w:eastAsia="宋体" w:hAnsi="宋体" w:cs="Times New Roman" w:hint="eastAsia"/>
                <w:color w:val="262626"/>
                <w:kern w:val="0"/>
                <w:szCs w:val="21"/>
              </w:rPr>
              <w:t>2、</w:t>
            </w:r>
            <w:r w:rsidR="00A35C4C">
              <w:rPr>
                <w:rFonts w:ascii="宋体" w:eastAsia="宋体" w:hAnsi="宋体" w:cs="Times New Roman" w:hint="eastAsia"/>
                <w:color w:val="262626"/>
                <w:kern w:val="0"/>
                <w:szCs w:val="21"/>
              </w:rPr>
              <w:t>《</w:t>
            </w:r>
            <w:r w:rsidR="00A35C4C" w:rsidRPr="00A35C4C">
              <w:rPr>
                <w:rFonts w:ascii="宋体" w:eastAsia="宋体" w:hAnsi="宋体" w:cs="Times New Roman"/>
                <w:color w:val="262626"/>
                <w:kern w:val="0"/>
                <w:szCs w:val="21"/>
              </w:rPr>
              <w:t>国外“现金贷”业务发展经验及对我国的启示</w:t>
            </w:r>
            <w:r w:rsidR="00A35C4C">
              <w:rPr>
                <w:rFonts w:ascii="宋体" w:eastAsia="宋体" w:hAnsi="宋体" w:cs="Times New Roman" w:hint="eastAsia"/>
                <w:color w:val="262626"/>
                <w:kern w:val="0"/>
                <w:szCs w:val="21"/>
              </w:rPr>
              <w:t>》——</w:t>
            </w:r>
            <w:r w:rsidR="00A35C4C" w:rsidRPr="00A35C4C">
              <w:rPr>
                <w:rFonts w:ascii="宋体" w:eastAsia="宋体" w:hAnsi="宋体" w:cs="Times New Roman"/>
                <w:color w:val="262626"/>
                <w:kern w:val="0"/>
                <w:szCs w:val="21"/>
              </w:rPr>
              <w:t>《现代商业银行导刊》2018年 第5期 | 柳红霞   中国人民银行盐城市中心支行</w:t>
            </w:r>
          </w:p>
          <w:p w14:paraId="7115D76F" w14:textId="77777777" w:rsidR="00BC42F5" w:rsidRDefault="00BC42F5" w:rsidP="00A35C4C">
            <w:pPr>
              <w:widowControl/>
              <w:spacing w:line="432" w:lineRule="atLeast"/>
              <w:rPr>
                <w:rFonts w:ascii="宋体" w:eastAsia="宋体" w:hAnsi="宋体" w:cs="Times New Roman"/>
                <w:color w:val="262626"/>
                <w:kern w:val="0"/>
                <w:szCs w:val="21"/>
              </w:rPr>
            </w:pPr>
            <w:r>
              <w:rPr>
                <w:rFonts w:ascii="宋体" w:eastAsia="宋体" w:hAnsi="宋体" w:cs="Times New Roman" w:hint="eastAsia"/>
                <w:color w:val="262626"/>
                <w:kern w:val="0"/>
                <w:szCs w:val="21"/>
              </w:rPr>
              <w:t>3、</w:t>
            </w:r>
            <w:r w:rsidRPr="00BC42F5">
              <w:rPr>
                <w:rFonts w:ascii="宋体" w:eastAsia="宋体" w:hAnsi="宋体" w:cs="Times New Roman"/>
                <w:color w:val="262626"/>
                <w:kern w:val="0"/>
                <w:szCs w:val="21"/>
              </w:rPr>
              <w:t>跨时期消费理论与消费信贷政策分析</w:t>
            </w:r>
            <w:r>
              <w:rPr>
                <w:rFonts w:ascii="宋体" w:eastAsia="宋体" w:hAnsi="宋体" w:cs="Times New Roman" w:hint="eastAsia"/>
                <w:color w:val="262626"/>
                <w:kern w:val="0"/>
                <w:szCs w:val="21"/>
              </w:rPr>
              <w:t>，生产力研究，郭立宏，高玲侠</w:t>
            </w:r>
          </w:p>
          <w:p w14:paraId="3F45CF7F" w14:textId="77777777" w:rsidR="00B866BB" w:rsidRDefault="00B866BB" w:rsidP="00A35C4C">
            <w:pPr>
              <w:widowControl/>
              <w:spacing w:line="432" w:lineRule="atLeast"/>
              <w:rPr>
                <w:rFonts w:ascii="宋体" w:eastAsia="宋体" w:hAnsi="宋体" w:cs="Times New Roman"/>
                <w:color w:val="262626"/>
                <w:kern w:val="0"/>
                <w:szCs w:val="21"/>
              </w:rPr>
            </w:pPr>
            <w:r>
              <w:rPr>
                <w:rFonts w:ascii="宋体" w:eastAsia="宋体" w:hAnsi="宋体" w:cs="Times New Roman" w:hint="eastAsia"/>
                <w:color w:val="262626"/>
                <w:kern w:val="0"/>
                <w:szCs w:val="21"/>
              </w:rPr>
              <w:t>4、</w:t>
            </w:r>
            <w:r w:rsidRPr="00B866BB">
              <w:rPr>
                <w:rFonts w:ascii="宋体" w:eastAsia="宋体" w:hAnsi="宋体" w:cs="Times New Roman"/>
                <w:color w:val="262626"/>
                <w:kern w:val="0"/>
                <w:szCs w:val="21"/>
              </w:rPr>
              <w:t>美国消费信贷简史</w:t>
            </w:r>
            <w:r>
              <w:rPr>
                <w:rFonts w:ascii="宋体" w:eastAsia="宋体" w:hAnsi="宋体" w:cs="Times New Roman" w:hint="eastAsia"/>
                <w:color w:val="262626"/>
                <w:kern w:val="0"/>
                <w:szCs w:val="21"/>
              </w:rPr>
              <w:t>，</w:t>
            </w:r>
            <w:r w:rsidRPr="00B866BB">
              <w:rPr>
                <w:rFonts w:ascii="宋体" w:eastAsia="宋体" w:hAnsi="宋体" w:cs="Times New Roman"/>
                <w:color w:val="262626"/>
                <w:kern w:val="0"/>
                <w:szCs w:val="21"/>
              </w:rPr>
              <w:t>苏宁金融研究院 · 零壹财经</w:t>
            </w:r>
          </w:p>
          <w:p w14:paraId="5FBAC08B" w14:textId="77777777" w:rsidR="008A1996" w:rsidRDefault="008A1996" w:rsidP="00A35C4C">
            <w:pPr>
              <w:widowControl/>
              <w:spacing w:line="432" w:lineRule="atLeast"/>
              <w:rPr>
                <w:rFonts w:ascii="宋体" w:eastAsia="宋体" w:hAnsi="宋体" w:cs="Times New Roman"/>
                <w:color w:val="262626"/>
                <w:kern w:val="0"/>
                <w:szCs w:val="21"/>
              </w:rPr>
            </w:pPr>
            <w:r>
              <w:rPr>
                <w:rFonts w:ascii="宋体" w:eastAsia="宋体" w:hAnsi="宋体" w:cs="Times New Roman" w:hint="eastAsia"/>
                <w:color w:val="262626"/>
                <w:kern w:val="0"/>
                <w:szCs w:val="21"/>
              </w:rPr>
              <w:t>5、</w:t>
            </w:r>
            <w:r w:rsidRPr="008A1996">
              <w:rPr>
                <w:rFonts w:ascii="宋体" w:eastAsia="宋体" w:hAnsi="宋体" w:cs="Times New Roman"/>
                <w:color w:val="262626"/>
                <w:kern w:val="0"/>
                <w:szCs w:val="21"/>
              </w:rPr>
              <w:t>五大阶段观测美国消费与消费金融演变 | 中美消费信贷20年差距暨深度分析</w:t>
            </w:r>
            <w:r>
              <w:rPr>
                <w:rFonts w:ascii="宋体" w:eastAsia="宋体" w:hAnsi="宋体" w:cs="Times New Roman" w:hint="eastAsia"/>
                <w:color w:val="262626"/>
                <w:kern w:val="0"/>
                <w:szCs w:val="21"/>
              </w:rPr>
              <w:t>，</w:t>
            </w:r>
            <w:r w:rsidRPr="008A1996">
              <w:rPr>
                <w:rFonts w:ascii="宋体" w:eastAsia="宋体" w:hAnsi="宋体" w:cs="Times New Roman"/>
                <w:color w:val="262626"/>
                <w:kern w:val="0"/>
                <w:szCs w:val="21"/>
              </w:rPr>
              <w:t>前瞻产业研究院 » 经济学人</w:t>
            </w:r>
          </w:p>
          <w:p w14:paraId="5C91C2F9" w14:textId="3791F217" w:rsidR="00492832" w:rsidRDefault="008A1996" w:rsidP="00492832">
            <w:pPr>
              <w:rPr>
                <w:rFonts w:ascii="宋体" w:eastAsia="宋体" w:hAnsi="宋体" w:cs="Times New Roman"/>
                <w:color w:val="262626"/>
                <w:kern w:val="0"/>
                <w:szCs w:val="21"/>
              </w:rPr>
            </w:pPr>
            <w:r>
              <w:rPr>
                <w:rFonts w:ascii="宋体" w:eastAsia="宋体" w:hAnsi="宋体" w:cs="Times New Roman" w:hint="eastAsia"/>
                <w:color w:val="262626"/>
                <w:kern w:val="0"/>
                <w:szCs w:val="21"/>
              </w:rPr>
              <w:t>6、</w:t>
            </w:r>
            <w:r w:rsidR="00492832" w:rsidRPr="00492832">
              <w:rPr>
                <w:rFonts w:ascii="宋体" w:eastAsia="宋体" w:hAnsi="宋体" w:cs="Times New Roman"/>
                <w:color w:val="262626"/>
                <w:kern w:val="0"/>
                <w:szCs w:val="21"/>
              </w:rPr>
              <w:t>消费信贷对消费结构及流动性约束的影响研究</w:t>
            </w:r>
            <w:r w:rsidR="00492832">
              <w:rPr>
                <w:rFonts w:ascii="宋体" w:eastAsia="宋体" w:hAnsi="宋体" w:cs="Times New Roman" w:hint="eastAsia"/>
                <w:color w:val="262626"/>
                <w:kern w:val="0"/>
                <w:szCs w:val="21"/>
              </w:rPr>
              <w:t>，</w:t>
            </w:r>
            <w:r w:rsidR="00492832" w:rsidRPr="00492832">
              <w:rPr>
                <w:rFonts w:ascii="宋体" w:eastAsia="宋体" w:hAnsi="宋体" w:cs="Times New Roman"/>
                <w:color w:val="262626"/>
                <w:kern w:val="0"/>
                <w:szCs w:val="21"/>
              </w:rPr>
              <w:t>《经济问题探索》2021 年第 5 期</w:t>
            </w:r>
            <w:r w:rsidR="00492832">
              <w:rPr>
                <w:rFonts w:ascii="宋体" w:eastAsia="宋体" w:hAnsi="宋体" w:cs="Times New Roman" w:hint="eastAsia"/>
                <w:color w:val="262626"/>
                <w:kern w:val="0"/>
                <w:szCs w:val="21"/>
              </w:rPr>
              <w:t>，</w:t>
            </w:r>
            <w:r w:rsidR="00492832" w:rsidRPr="00492832">
              <w:rPr>
                <w:rFonts w:ascii="宋体" w:eastAsia="宋体" w:hAnsi="宋体" w:cs="Times New Roman"/>
                <w:color w:val="262626"/>
                <w:kern w:val="0"/>
                <w:szCs w:val="21"/>
              </w:rPr>
              <w:t>谢朝晖</w:t>
            </w:r>
            <w:r w:rsidR="00492832">
              <w:rPr>
                <w:rFonts w:ascii="宋体" w:eastAsia="宋体" w:hAnsi="宋体" w:cs="Times New Roman"/>
                <w:color w:val="262626"/>
                <w:kern w:val="0"/>
                <w:szCs w:val="21"/>
              </w:rPr>
              <w:t>，</w:t>
            </w:r>
            <w:r w:rsidR="00492832" w:rsidRPr="00492832">
              <w:rPr>
                <w:rFonts w:ascii="宋体" w:eastAsia="宋体" w:hAnsi="宋体" w:cs="Times New Roman"/>
                <w:color w:val="262626"/>
                <w:kern w:val="0"/>
                <w:szCs w:val="21"/>
              </w:rPr>
              <w:t>李橙</w:t>
            </w:r>
          </w:p>
          <w:p w14:paraId="75012482" w14:textId="73F8FD14" w:rsidR="00492832" w:rsidRDefault="00492832" w:rsidP="00492832">
            <w:pPr>
              <w:rPr>
                <w:rFonts w:ascii="宋体" w:eastAsia="宋体" w:hAnsi="宋体" w:cs="Times New Roman"/>
                <w:color w:val="262626"/>
                <w:kern w:val="0"/>
                <w:szCs w:val="21"/>
              </w:rPr>
            </w:pPr>
            <w:r>
              <w:rPr>
                <w:rFonts w:ascii="宋体" w:eastAsia="宋体" w:hAnsi="宋体" w:cs="Times New Roman" w:hint="eastAsia"/>
                <w:color w:val="262626"/>
                <w:kern w:val="0"/>
                <w:szCs w:val="21"/>
              </w:rPr>
              <w:t>7、</w:t>
            </w:r>
            <w:r w:rsidRPr="00492832">
              <w:rPr>
                <w:rFonts w:ascii="宋体" w:eastAsia="宋体" w:hAnsi="宋体" w:cs="Times New Roman"/>
                <w:color w:val="262626"/>
                <w:kern w:val="0"/>
                <w:szCs w:val="21"/>
              </w:rPr>
              <w:t>权力导向型监管：美国消费金融监管的经验与启示</w:t>
            </w:r>
            <w:r>
              <w:rPr>
                <w:rFonts w:ascii="宋体" w:eastAsia="宋体" w:hAnsi="宋体" w:cs="Times New Roman" w:hint="eastAsia"/>
                <w:color w:val="262626"/>
                <w:kern w:val="0"/>
                <w:szCs w:val="21"/>
              </w:rPr>
              <w:t>，</w:t>
            </w:r>
            <w:r w:rsidRPr="00492832">
              <w:rPr>
                <w:rFonts w:ascii="宋体" w:eastAsia="宋体" w:hAnsi="宋体" w:cs="Times New Roman"/>
                <w:color w:val="262626"/>
                <w:kern w:val="0"/>
                <w:szCs w:val="21"/>
              </w:rPr>
              <w:t>金融论坛</w:t>
            </w:r>
            <w:r>
              <w:rPr>
                <w:rFonts w:ascii="宋体" w:eastAsia="宋体" w:hAnsi="宋体" w:cs="Times New Roman" w:hint="eastAsia"/>
                <w:color w:val="262626"/>
                <w:kern w:val="0"/>
                <w:szCs w:val="21"/>
              </w:rPr>
              <w:t>，林慰曾，2021-03-15</w:t>
            </w:r>
          </w:p>
          <w:p w14:paraId="5DF618AD" w14:textId="493A2D41" w:rsidR="00D45627" w:rsidRPr="00492832" w:rsidRDefault="00D45627" w:rsidP="00492832">
            <w:pPr>
              <w:rPr>
                <w:rFonts w:ascii="宋体" w:eastAsia="宋体" w:hAnsi="宋体" w:cs="Times New Roman"/>
                <w:color w:val="262626"/>
                <w:kern w:val="0"/>
                <w:szCs w:val="21"/>
              </w:rPr>
            </w:pPr>
            <w:r>
              <w:rPr>
                <w:rFonts w:ascii="宋体" w:eastAsia="宋体" w:hAnsi="宋体" w:cs="Times New Roman" w:hint="eastAsia"/>
                <w:color w:val="262626"/>
                <w:kern w:val="0"/>
                <w:szCs w:val="21"/>
              </w:rPr>
              <w:t>8、</w:t>
            </w:r>
            <w:r w:rsidRPr="00D45627">
              <w:rPr>
                <w:rFonts w:ascii="宋体" w:eastAsia="宋体" w:hAnsi="宋体" w:cs="Times New Roman"/>
                <w:color w:val="262626"/>
                <w:kern w:val="0"/>
                <w:szCs w:val="21"/>
              </w:rPr>
              <w:t>中国经济增长与高质量发展：2020-2035</w:t>
            </w:r>
            <w:r>
              <w:rPr>
                <w:rFonts w:ascii="宋体" w:eastAsia="宋体" w:hAnsi="宋体" w:cs="Times New Roman" w:hint="eastAsia"/>
                <w:color w:val="262626"/>
                <w:kern w:val="0"/>
                <w:szCs w:val="21"/>
              </w:rPr>
              <w:t>，</w:t>
            </w:r>
            <w:r w:rsidRPr="00D45627">
              <w:rPr>
                <w:rFonts w:ascii="宋体" w:eastAsia="宋体" w:hAnsi="宋体" w:cs="Times New Roman"/>
                <w:color w:val="262626"/>
                <w:kern w:val="0"/>
                <w:szCs w:val="21"/>
              </w:rPr>
              <w:t>China Economist. 2021,16(01)</w:t>
            </w:r>
            <w:r>
              <w:rPr>
                <w:rFonts w:ascii="宋体" w:eastAsia="宋体" w:hAnsi="宋体" w:cs="Times New Roman" w:hint="eastAsia"/>
                <w:color w:val="262626"/>
                <w:kern w:val="0"/>
                <w:szCs w:val="21"/>
              </w:rPr>
              <w:t>，</w:t>
            </w:r>
            <w:r w:rsidRPr="00D45627">
              <w:rPr>
                <w:rFonts w:ascii="宋体" w:eastAsia="宋体" w:hAnsi="宋体" w:cs="Times New Roman"/>
                <w:color w:val="262626"/>
                <w:kern w:val="0"/>
                <w:szCs w:val="21"/>
              </w:rPr>
              <w:t>刘伟1陈彦斌2,3</w:t>
            </w:r>
          </w:p>
          <w:p w14:paraId="4E4D4152" w14:textId="545A912D" w:rsidR="008A1996" w:rsidRPr="00A35C4C" w:rsidRDefault="00864C7F" w:rsidP="00A35C4C">
            <w:pPr>
              <w:widowControl/>
              <w:spacing w:line="432" w:lineRule="atLeast"/>
              <w:rPr>
                <w:rFonts w:ascii="宋体" w:eastAsia="宋体" w:hAnsi="宋体" w:cs="Times New Roman"/>
                <w:color w:val="262626"/>
                <w:kern w:val="0"/>
                <w:szCs w:val="21"/>
              </w:rPr>
            </w:pPr>
            <w:r>
              <w:rPr>
                <w:rFonts w:ascii="宋体" w:eastAsia="宋体" w:hAnsi="宋体" w:cs="Times New Roman" w:hint="eastAsia"/>
                <w:color w:val="262626"/>
                <w:kern w:val="0"/>
                <w:szCs w:val="21"/>
              </w:rPr>
              <w:t>9、</w:t>
            </w:r>
            <w:r w:rsidRPr="00864C7F">
              <w:rPr>
                <w:rFonts w:ascii="宋体" w:eastAsia="宋体" w:hAnsi="宋体" w:cs="Times New Roman"/>
                <w:color w:val="262626"/>
                <w:kern w:val="0"/>
                <w:szCs w:val="21"/>
              </w:rPr>
              <w:t>中国经济社会发展“十三五”时期回顾与“十四五”时期展望——基于《中国经济学人》问卷调查的分析</w:t>
            </w:r>
            <w:r>
              <w:rPr>
                <w:rFonts w:ascii="宋体" w:eastAsia="宋体" w:hAnsi="宋体" w:cs="Times New Roman" w:hint="eastAsia"/>
                <w:color w:val="262626"/>
                <w:kern w:val="0"/>
                <w:szCs w:val="21"/>
              </w:rPr>
              <w:t>，</w:t>
            </w:r>
            <w:r w:rsidRPr="00864C7F">
              <w:rPr>
                <w:rFonts w:ascii="宋体" w:eastAsia="宋体" w:hAnsi="宋体" w:cs="Times New Roman"/>
                <w:color w:val="262626"/>
                <w:kern w:val="0"/>
                <w:szCs w:val="21"/>
              </w:rPr>
              <w:t>China Economist. 2020,15(04)</w:t>
            </w:r>
            <w:r>
              <w:rPr>
                <w:rFonts w:ascii="宋体" w:eastAsia="宋体" w:hAnsi="宋体" w:cs="Times New Roman" w:hint="eastAsia"/>
                <w:color w:val="262626"/>
                <w:kern w:val="0"/>
                <w:szCs w:val="21"/>
              </w:rPr>
              <w:t>，陈素梅</w:t>
            </w:r>
          </w:p>
        </w:tc>
      </w:tr>
    </w:tbl>
    <w:p w14:paraId="272563F8" w14:textId="6078AD05" w:rsidR="001C3791" w:rsidRDefault="00AB5DD7" w:rsidP="001C3791">
      <w:pPr>
        <w:ind w:firstLineChars="200" w:firstLine="420"/>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2B18AB10" w14:textId="58E0630B" w:rsidR="00AB5DD7" w:rsidRPr="00AB5DD7" w:rsidRDefault="001C3791" w:rsidP="001F2172">
      <w:pPr>
        <w:ind w:firstLineChars="200" w:firstLine="420"/>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2E28F8"/>
    <w:multiLevelType w:val="multilevel"/>
    <w:tmpl w:val="E7B82E1E"/>
    <w:lvl w:ilvl="0">
      <w:start w:val="1"/>
      <w:numFmt w:val="decimal"/>
      <w:lvlText w:val="%1"/>
      <w:lvlJc w:val="left"/>
      <w:pPr>
        <w:ind w:left="480" w:hanging="480"/>
      </w:pPr>
      <w:rPr>
        <w:rFonts w:hint="eastAsia"/>
      </w:rPr>
    </w:lvl>
    <w:lvl w:ilvl="1">
      <w:start w:val="1"/>
      <w:numFmt w:val="decimal"/>
      <w:lvlText w:val="%1.%2"/>
      <w:lvlJc w:val="left"/>
      <w:pPr>
        <w:ind w:left="480" w:hanging="4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
    <w:nsid w:val="59B4255C"/>
    <w:multiLevelType w:val="hybridMultilevel"/>
    <w:tmpl w:val="CFA6B5BC"/>
    <w:lvl w:ilvl="0" w:tplc="6B3C708C">
      <w:start w:val="1"/>
      <w:numFmt w:val="japaneseCounting"/>
      <w:lvlText w:val="第%1章"/>
      <w:lvlJc w:val="left"/>
      <w:pPr>
        <w:ind w:left="840" w:hanging="84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50627"/>
    <w:rsid w:val="000618DB"/>
    <w:rsid w:val="00061CA4"/>
    <w:rsid w:val="00062F42"/>
    <w:rsid w:val="00082BEA"/>
    <w:rsid w:val="000D616E"/>
    <w:rsid w:val="00111AC2"/>
    <w:rsid w:val="001222F6"/>
    <w:rsid w:val="00141111"/>
    <w:rsid w:val="00167539"/>
    <w:rsid w:val="0019340A"/>
    <w:rsid w:val="001B770F"/>
    <w:rsid w:val="001C3791"/>
    <w:rsid w:val="001D4ABC"/>
    <w:rsid w:val="001F2172"/>
    <w:rsid w:val="0021756A"/>
    <w:rsid w:val="002F6DA1"/>
    <w:rsid w:val="002F7762"/>
    <w:rsid w:val="00304066"/>
    <w:rsid w:val="0030654A"/>
    <w:rsid w:val="00316420"/>
    <w:rsid w:val="003C213C"/>
    <w:rsid w:val="00433878"/>
    <w:rsid w:val="0043540F"/>
    <w:rsid w:val="00492832"/>
    <w:rsid w:val="004A043E"/>
    <w:rsid w:val="004C2028"/>
    <w:rsid w:val="00556D05"/>
    <w:rsid w:val="005640CF"/>
    <w:rsid w:val="00566575"/>
    <w:rsid w:val="0059387C"/>
    <w:rsid w:val="005D10FE"/>
    <w:rsid w:val="006074C1"/>
    <w:rsid w:val="006240B1"/>
    <w:rsid w:val="006845DC"/>
    <w:rsid w:val="00722BA8"/>
    <w:rsid w:val="00753173"/>
    <w:rsid w:val="00761113"/>
    <w:rsid w:val="007B443F"/>
    <w:rsid w:val="00807310"/>
    <w:rsid w:val="0084754D"/>
    <w:rsid w:val="00864C7F"/>
    <w:rsid w:val="00881106"/>
    <w:rsid w:val="008A1996"/>
    <w:rsid w:val="008F2497"/>
    <w:rsid w:val="009B0F95"/>
    <w:rsid w:val="009C2F2C"/>
    <w:rsid w:val="009D0666"/>
    <w:rsid w:val="009F5DAB"/>
    <w:rsid w:val="00A15B75"/>
    <w:rsid w:val="00A32456"/>
    <w:rsid w:val="00A35C4C"/>
    <w:rsid w:val="00A55049"/>
    <w:rsid w:val="00A605D9"/>
    <w:rsid w:val="00A83EDF"/>
    <w:rsid w:val="00AB5DD7"/>
    <w:rsid w:val="00AB6459"/>
    <w:rsid w:val="00AB6544"/>
    <w:rsid w:val="00B074F5"/>
    <w:rsid w:val="00B35097"/>
    <w:rsid w:val="00B866BB"/>
    <w:rsid w:val="00BC414F"/>
    <w:rsid w:val="00BC42F5"/>
    <w:rsid w:val="00C06E35"/>
    <w:rsid w:val="00C3209E"/>
    <w:rsid w:val="00C53353"/>
    <w:rsid w:val="00C77FEB"/>
    <w:rsid w:val="00CA2520"/>
    <w:rsid w:val="00D378AC"/>
    <w:rsid w:val="00D45627"/>
    <w:rsid w:val="00D805ED"/>
    <w:rsid w:val="00DD685E"/>
    <w:rsid w:val="00E5705C"/>
    <w:rsid w:val="00E62FC5"/>
    <w:rsid w:val="00E92A94"/>
    <w:rsid w:val="00EB68F0"/>
    <w:rsid w:val="00ED1650"/>
    <w:rsid w:val="00EF1126"/>
    <w:rsid w:val="00F30D11"/>
    <w:rsid w:val="00F57035"/>
    <w:rsid w:val="00F87FA2"/>
    <w:rsid w:val="00F950B3"/>
    <w:rsid w:val="00FF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5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63853">
      <w:bodyDiv w:val="1"/>
      <w:marLeft w:val="0"/>
      <w:marRight w:val="0"/>
      <w:marTop w:val="0"/>
      <w:marBottom w:val="0"/>
      <w:divBdr>
        <w:top w:val="none" w:sz="0" w:space="0" w:color="auto"/>
        <w:left w:val="none" w:sz="0" w:space="0" w:color="auto"/>
        <w:bottom w:val="none" w:sz="0" w:space="0" w:color="auto"/>
        <w:right w:val="none" w:sz="0" w:space="0" w:color="auto"/>
      </w:divBdr>
    </w:div>
    <w:div w:id="275914870">
      <w:bodyDiv w:val="1"/>
      <w:marLeft w:val="0"/>
      <w:marRight w:val="0"/>
      <w:marTop w:val="0"/>
      <w:marBottom w:val="0"/>
      <w:divBdr>
        <w:top w:val="none" w:sz="0" w:space="0" w:color="auto"/>
        <w:left w:val="none" w:sz="0" w:space="0" w:color="auto"/>
        <w:bottom w:val="none" w:sz="0" w:space="0" w:color="auto"/>
        <w:right w:val="none" w:sz="0" w:space="0" w:color="auto"/>
      </w:divBdr>
    </w:div>
    <w:div w:id="280306136">
      <w:bodyDiv w:val="1"/>
      <w:marLeft w:val="0"/>
      <w:marRight w:val="0"/>
      <w:marTop w:val="0"/>
      <w:marBottom w:val="0"/>
      <w:divBdr>
        <w:top w:val="none" w:sz="0" w:space="0" w:color="auto"/>
        <w:left w:val="none" w:sz="0" w:space="0" w:color="auto"/>
        <w:bottom w:val="none" w:sz="0" w:space="0" w:color="auto"/>
        <w:right w:val="none" w:sz="0" w:space="0" w:color="auto"/>
      </w:divBdr>
    </w:div>
    <w:div w:id="452213016">
      <w:bodyDiv w:val="1"/>
      <w:marLeft w:val="0"/>
      <w:marRight w:val="0"/>
      <w:marTop w:val="0"/>
      <w:marBottom w:val="0"/>
      <w:divBdr>
        <w:top w:val="none" w:sz="0" w:space="0" w:color="auto"/>
        <w:left w:val="none" w:sz="0" w:space="0" w:color="auto"/>
        <w:bottom w:val="none" w:sz="0" w:space="0" w:color="auto"/>
        <w:right w:val="none" w:sz="0" w:space="0" w:color="auto"/>
      </w:divBdr>
    </w:div>
    <w:div w:id="481820869">
      <w:bodyDiv w:val="1"/>
      <w:marLeft w:val="0"/>
      <w:marRight w:val="0"/>
      <w:marTop w:val="0"/>
      <w:marBottom w:val="0"/>
      <w:divBdr>
        <w:top w:val="none" w:sz="0" w:space="0" w:color="auto"/>
        <w:left w:val="none" w:sz="0" w:space="0" w:color="auto"/>
        <w:bottom w:val="none" w:sz="0" w:space="0" w:color="auto"/>
        <w:right w:val="none" w:sz="0" w:space="0" w:color="auto"/>
      </w:divBdr>
    </w:div>
    <w:div w:id="604003552">
      <w:bodyDiv w:val="1"/>
      <w:marLeft w:val="0"/>
      <w:marRight w:val="0"/>
      <w:marTop w:val="0"/>
      <w:marBottom w:val="0"/>
      <w:divBdr>
        <w:top w:val="none" w:sz="0" w:space="0" w:color="auto"/>
        <w:left w:val="none" w:sz="0" w:space="0" w:color="auto"/>
        <w:bottom w:val="none" w:sz="0" w:space="0" w:color="auto"/>
        <w:right w:val="none" w:sz="0" w:space="0" w:color="auto"/>
      </w:divBdr>
    </w:div>
    <w:div w:id="623148316">
      <w:bodyDiv w:val="1"/>
      <w:marLeft w:val="0"/>
      <w:marRight w:val="0"/>
      <w:marTop w:val="0"/>
      <w:marBottom w:val="0"/>
      <w:divBdr>
        <w:top w:val="none" w:sz="0" w:space="0" w:color="auto"/>
        <w:left w:val="none" w:sz="0" w:space="0" w:color="auto"/>
        <w:bottom w:val="none" w:sz="0" w:space="0" w:color="auto"/>
        <w:right w:val="none" w:sz="0" w:space="0" w:color="auto"/>
      </w:divBdr>
    </w:div>
    <w:div w:id="915817776">
      <w:bodyDiv w:val="1"/>
      <w:marLeft w:val="0"/>
      <w:marRight w:val="0"/>
      <w:marTop w:val="0"/>
      <w:marBottom w:val="0"/>
      <w:divBdr>
        <w:top w:val="none" w:sz="0" w:space="0" w:color="auto"/>
        <w:left w:val="none" w:sz="0" w:space="0" w:color="auto"/>
        <w:bottom w:val="none" w:sz="0" w:space="0" w:color="auto"/>
        <w:right w:val="none" w:sz="0" w:space="0" w:color="auto"/>
      </w:divBdr>
    </w:div>
    <w:div w:id="942613224">
      <w:bodyDiv w:val="1"/>
      <w:marLeft w:val="0"/>
      <w:marRight w:val="0"/>
      <w:marTop w:val="0"/>
      <w:marBottom w:val="0"/>
      <w:divBdr>
        <w:top w:val="none" w:sz="0" w:space="0" w:color="auto"/>
        <w:left w:val="none" w:sz="0" w:space="0" w:color="auto"/>
        <w:bottom w:val="none" w:sz="0" w:space="0" w:color="auto"/>
        <w:right w:val="none" w:sz="0" w:space="0" w:color="auto"/>
      </w:divBdr>
    </w:div>
    <w:div w:id="1133714222">
      <w:bodyDiv w:val="1"/>
      <w:marLeft w:val="0"/>
      <w:marRight w:val="0"/>
      <w:marTop w:val="0"/>
      <w:marBottom w:val="0"/>
      <w:divBdr>
        <w:top w:val="none" w:sz="0" w:space="0" w:color="auto"/>
        <w:left w:val="none" w:sz="0" w:space="0" w:color="auto"/>
        <w:bottom w:val="none" w:sz="0" w:space="0" w:color="auto"/>
        <w:right w:val="none" w:sz="0" w:space="0" w:color="auto"/>
      </w:divBdr>
    </w:div>
    <w:div w:id="1150177403">
      <w:bodyDiv w:val="1"/>
      <w:marLeft w:val="0"/>
      <w:marRight w:val="0"/>
      <w:marTop w:val="0"/>
      <w:marBottom w:val="0"/>
      <w:divBdr>
        <w:top w:val="none" w:sz="0" w:space="0" w:color="auto"/>
        <w:left w:val="none" w:sz="0" w:space="0" w:color="auto"/>
        <w:bottom w:val="none" w:sz="0" w:space="0" w:color="auto"/>
        <w:right w:val="none" w:sz="0" w:space="0" w:color="auto"/>
      </w:divBdr>
    </w:div>
    <w:div w:id="1218199625">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437755195">
      <w:bodyDiv w:val="1"/>
      <w:marLeft w:val="0"/>
      <w:marRight w:val="0"/>
      <w:marTop w:val="0"/>
      <w:marBottom w:val="0"/>
      <w:divBdr>
        <w:top w:val="none" w:sz="0" w:space="0" w:color="auto"/>
        <w:left w:val="none" w:sz="0" w:space="0" w:color="auto"/>
        <w:bottom w:val="none" w:sz="0" w:space="0" w:color="auto"/>
        <w:right w:val="none" w:sz="0" w:space="0" w:color="auto"/>
      </w:divBdr>
    </w:div>
    <w:div w:id="1445610852">
      <w:bodyDiv w:val="1"/>
      <w:marLeft w:val="0"/>
      <w:marRight w:val="0"/>
      <w:marTop w:val="0"/>
      <w:marBottom w:val="0"/>
      <w:divBdr>
        <w:top w:val="none" w:sz="0" w:space="0" w:color="auto"/>
        <w:left w:val="none" w:sz="0" w:space="0" w:color="auto"/>
        <w:bottom w:val="none" w:sz="0" w:space="0" w:color="auto"/>
        <w:right w:val="none" w:sz="0" w:space="0" w:color="auto"/>
      </w:divBdr>
    </w:div>
    <w:div w:id="1516383793">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 w:id="1636594995">
      <w:bodyDiv w:val="1"/>
      <w:marLeft w:val="0"/>
      <w:marRight w:val="0"/>
      <w:marTop w:val="0"/>
      <w:marBottom w:val="0"/>
      <w:divBdr>
        <w:top w:val="none" w:sz="0" w:space="0" w:color="auto"/>
        <w:left w:val="none" w:sz="0" w:space="0" w:color="auto"/>
        <w:bottom w:val="none" w:sz="0" w:space="0" w:color="auto"/>
        <w:right w:val="none" w:sz="0" w:space="0" w:color="auto"/>
      </w:divBdr>
    </w:div>
    <w:div w:id="1737707861">
      <w:bodyDiv w:val="1"/>
      <w:marLeft w:val="0"/>
      <w:marRight w:val="0"/>
      <w:marTop w:val="0"/>
      <w:marBottom w:val="0"/>
      <w:divBdr>
        <w:top w:val="none" w:sz="0" w:space="0" w:color="auto"/>
        <w:left w:val="none" w:sz="0" w:space="0" w:color="auto"/>
        <w:bottom w:val="none" w:sz="0" w:space="0" w:color="auto"/>
        <w:right w:val="none" w:sz="0" w:space="0" w:color="auto"/>
      </w:divBdr>
    </w:div>
    <w:div w:id="1864317373">
      <w:bodyDiv w:val="1"/>
      <w:marLeft w:val="0"/>
      <w:marRight w:val="0"/>
      <w:marTop w:val="0"/>
      <w:marBottom w:val="0"/>
      <w:divBdr>
        <w:top w:val="none" w:sz="0" w:space="0" w:color="auto"/>
        <w:left w:val="none" w:sz="0" w:space="0" w:color="auto"/>
        <w:bottom w:val="none" w:sz="0" w:space="0" w:color="auto"/>
        <w:right w:val="none" w:sz="0" w:space="0" w:color="auto"/>
      </w:divBdr>
    </w:div>
    <w:div w:id="1923441559">
      <w:bodyDiv w:val="1"/>
      <w:marLeft w:val="0"/>
      <w:marRight w:val="0"/>
      <w:marTop w:val="0"/>
      <w:marBottom w:val="0"/>
      <w:divBdr>
        <w:top w:val="none" w:sz="0" w:space="0" w:color="auto"/>
        <w:left w:val="none" w:sz="0" w:space="0" w:color="auto"/>
        <w:bottom w:val="none" w:sz="0" w:space="0" w:color="auto"/>
        <w:right w:val="none" w:sz="0" w:space="0" w:color="auto"/>
      </w:divBdr>
    </w:div>
    <w:div w:id="19811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280</Words>
  <Characters>1598</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Microsoft Office 用户</cp:lastModifiedBy>
  <cp:revision>4</cp:revision>
  <dcterms:created xsi:type="dcterms:W3CDTF">2021-07-21T13:32:00Z</dcterms:created>
  <dcterms:modified xsi:type="dcterms:W3CDTF">2021-07-27T10:41:00Z</dcterms:modified>
</cp:coreProperties>
</file>