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ascii="宋体" w:hAnsi="宋体" w:eastAsia="宋体"/>
                <w:sz w:val="24"/>
              </w:rPr>
              <w:t>71040</w:t>
            </w:r>
            <w:r>
              <w:rPr>
                <w:rFonts w:hint="eastAsia" w:ascii="宋体" w:hAnsi="宋体" w:eastAsia="宋体"/>
                <w:sz w:val="24"/>
                <w:lang w:val="en-US" w:eastAsia="zh-CN"/>
              </w:rPr>
              <w:t>240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李燕珊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广州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13763313234</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392778927@qq.com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华南师范大学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广州市财经商贸职业学校</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电子商务专业教师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ascii="宋体" w:hAnsi="宋体" w:eastAsia="宋体"/>
                <w:sz w:val="24"/>
              </w:rPr>
            </w:pPr>
            <w:r>
              <w:rPr>
                <w:rFonts w:ascii="宋体" w:hAnsi="宋体" w:eastAsia="宋体"/>
                <w:sz w:val="24"/>
              </w:rPr>
              <w:t>本人</w:t>
            </w:r>
            <w:r>
              <w:rPr>
                <w:rFonts w:hint="eastAsia" w:ascii="宋体" w:hAnsi="宋体" w:eastAsia="宋体"/>
                <w:sz w:val="24"/>
                <w:lang w:val="en-US" w:eastAsia="zh-CN"/>
              </w:rPr>
              <w:t>李燕珊</w:t>
            </w:r>
            <w:r>
              <w:rPr>
                <w:rFonts w:ascii="宋体" w:hAnsi="宋体" w:eastAsia="宋体"/>
                <w:sz w:val="24"/>
              </w:rPr>
              <w:t>，19</w:t>
            </w:r>
            <w:r>
              <w:rPr>
                <w:rFonts w:hint="eastAsia" w:ascii="宋体" w:hAnsi="宋体" w:eastAsia="宋体"/>
                <w:sz w:val="24"/>
                <w:lang w:val="en-US" w:eastAsia="zh-CN"/>
              </w:rPr>
              <w:t>91年</w:t>
            </w:r>
            <w:r>
              <w:rPr>
                <w:rFonts w:ascii="宋体" w:hAnsi="宋体" w:eastAsia="宋体"/>
                <w:sz w:val="24"/>
              </w:rPr>
              <w:t>出生，籍贯</w:t>
            </w:r>
            <w:r>
              <w:rPr>
                <w:rFonts w:hint="eastAsia" w:ascii="宋体" w:hAnsi="宋体" w:eastAsia="宋体"/>
                <w:sz w:val="24"/>
                <w:lang w:val="en-US" w:eastAsia="zh-CN"/>
              </w:rPr>
              <w:t>广东梅州</w:t>
            </w:r>
            <w:r>
              <w:rPr>
                <w:rFonts w:ascii="宋体" w:hAnsi="宋体" w:eastAsia="宋体"/>
                <w:sz w:val="24"/>
              </w:rPr>
              <w:t>，20</w:t>
            </w:r>
            <w:r>
              <w:rPr>
                <w:rFonts w:hint="eastAsia" w:ascii="宋体" w:hAnsi="宋体" w:eastAsia="宋体"/>
                <w:sz w:val="24"/>
                <w:lang w:val="en-US" w:eastAsia="zh-CN"/>
              </w:rPr>
              <w:t>10</w:t>
            </w:r>
            <w:r>
              <w:rPr>
                <w:rFonts w:ascii="宋体" w:hAnsi="宋体" w:eastAsia="宋体"/>
                <w:sz w:val="24"/>
              </w:rPr>
              <w:t>-20</w:t>
            </w:r>
            <w:r>
              <w:rPr>
                <w:rFonts w:hint="eastAsia" w:ascii="宋体" w:hAnsi="宋体" w:eastAsia="宋体"/>
                <w:sz w:val="24"/>
                <w:lang w:val="en-US" w:eastAsia="zh-CN"/>
              </w:rPr>
              <w:t>14</w:t>
            </w:r>
            <w:r>
              <w:rPr>
                <w:rFonts w:ascii="宋体" w:hAnsi="宋体" w:eastAsia="宋体"/>
                <w:sz w:val="24"/>
              </w:rPr>
              <w:t>年就读于</w:t>
            </w:r>
            <w:r>
              <w:rPr>
                <w:rFonts w:hint="eastAsia" w:ascii="宋体" w:hAnsi="宋体" w:eastAsia="宋体"/>
                <w:sz w:val="24"/>
                <w:lang w:val="en-US" w:eastAsia="zh-CN"/>
              </w:rPr>
              <w:t>华南师范大学计算机科学与技术（师范）专业，曾获华南师范大学百名优秀毕业生荣誉称号</w:t>
            </w:r>
            <w:r>
              <w:rPr>
                <w:rFonts w:ascii="宋体" w:hAnsi="宋体" w:eastAsia="宋体"/>
                <w:sz w:val="24"/>
              </w:rPr>
              <w:t>。</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rPr>
            </w:pPr>
            <w:r>
              <w:rPr>
                <w:rFonts w:hint="eastAsia" w:ascii="宋体" w:hAnsi="宋体" w:eastAsia="宋体"/>
                <w:sz w:val="24"/>
                <w:lang w:val="en-US" w:eastAsia="zh-CN"/>
              </w:rPr>
              <w:t>毕业后于2014年7月-至今就职于广州市财经商贸职业学校（曾名为广州市商贸职业学校），任教于电子商务专业，主要任教课程方向为新媒体运营、直播营销。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基于博弈论的电商商家价格竞争策略分析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《财讯》国内统一刊号：CN44-1617/F，国际标准刊号：ISSN1674-3091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keepNext w:val="0"/>
              <w:keepLines w:val="0"/>
              <w:pageBreakBefore w:val="0"/>
              <w:widowControl w:val="0"/>
              <w:kinsoku/>
              <w:wordWrap/>
              <w:overflowPunct/>
              <w:topLinePunct w:val="0"/>
              <w:autoSpaceDE/>
              <w:autoSpaceDN/>
              <w:bidi w:val="0"/>
              <w:adjustRightInd/>
              <w:snapToGrid w:val="0"/>
              <w:spacing w:line="312"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文章基于博弈论中的混合战略纳什均衡和囚徒困境的理论学习探究，对电商企业价格决策行为进行博弈论的理论分析，分析可得价格战可能导致有效的零利润结果，利用合作可以实现双赢，并进一步对电商单一市场和多元市场结构中的价格竞争策略进行分析，得出如果领先企业和后续企业在具有垂直产品特征的差异条件下竞争价格，则市场上领先企业的价格将高于低成本策略的结论。</w:t>
            </w:r>
          </w:p>
          <w:p>
            <w:pPr>
              <w:keepNext w:val="0"/>
              <w:keepLines w:val="0"/>
              <w:pageBreakBefore w:val="0"/>
              <w:widowControl w:val="0"/>
              <w:kinsoku/>
              <w:wordWrap/>
              <w:overflowPunct/>
              <w:topLinePunct w:val="0"/>
              <w:autoSpaceDE/>
              <w:autoSpaceDN/>
              <w:bidi w:val="0"/>
              <w:adjustRightInd/>
              <w:snapToGrid w:val="0"/>
              <w:spacing w:line="312"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本文认为电商企业可以通过对竞争对手的全面了解，合作态度和对其反应的良好判断，来缓解价格战的毁灭性竞争。在市场经济中，企业应正确认识价格战，合理面对价格战，努力创新，提高产品质量和服务质量，促进电子商务领域良性循环，使我国经济发展更健康</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消费经济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一、研究背景及意义</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新冠肺炎疫情全球大流行之后，百年未有之大变局正在加速变化，我国在面临外部需求萎缩风险和日益严峻复杂的全球经贸形势下，牢牢抓住扩大国内需求这一战略基点，推进经济双循环建设，拉动经济增长。从宏观层面看，消费对GDP的贡献占比不断提高，自2014年起，消费对于GDP的贡献率超过投资，</w:t>
            </w:r>
            <w:r>
              <w:rPr>
                <w:rFonts w:hint="eastAsia" w:ascii="宋体" w:hAnsi="宋体" w:eastAsia="宋体"/>
                <w:sz w:val="24"/>
              </w:rPr>
              <w:t>2020年尽管受到新冠肺炎疫情的冲击，但最终消费支出占GDP的比重仍然达到54.3%，高于资本形成总额11.2个百分点，为近年来的最高水平</w:t>
            </w:r>
            <w:r>
              <w:rPr>
                <w:rFonts w:hint="eastAsia" w:ascii="宋体" w:hAnsi="宋体" w:eastAsia="宋体"/>
                <w:sz w:val="24"/>
                <w:lang w:eastAsia="zh-CN"/>
              </w:rPr>
              <w:t>，</w:t>
            </w:r>
            <w:r>
              <w:rPr>
                <w:rFonts w:hint="eastAsia" w:ascii="宋体" w:hAnsi="宋体" w:eastAsia="宋体"/>
                <w:sz w:val="24"/>
                <w:lang w:val="en-US" w:eastAsia="zh-CN"/>
              </w:rPr>
              <w:t>消费也成为了稳定国民经济的“压舱石”，被寄予更多的期望。</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伴随着人均GDP的不断攀升，恩格尔系数走低，中国的消费结构也在悄然发生改变，人民的消费结构转型升级，消费总量持续增加，消费范围拓宽延伸，消费内容日渐丰富，消费潮流澎湃不息，点燃了生活色彩，增添着经济发展动力，正如十九大报告所指出的，中国特色社会主义进入新时代，我国社会主要矛盾已经转化为人民日益增长的美好生活需要和不平衡不充分的发展之间的矛盾，强调了中国消费结构正在经历一个不断升级的过程。</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与此同时，电子商务的发展赋能新消费，消费场景从线下向线上延伸，消费对象从实物向服务转变，消费体验从大众化向个性化探索，消费互动新模式不断涌现，移动支付、智慧物流、信息技术的发展加快培育直播电商、生鲜电商等新业态和新模式，推动线上线下融合发展，支持实体商业数字化转型升级，为消费的发展点燃引擎。以促消费稳增长，以促进消费升级推动产业升级和高质量发展格局全面形成。</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因此分析电子商务发展对消费升级趋势的变化方向和作用具有重要意义。</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但是国内相关研究参考文献较少，在电子商务发展指标选取上，刘富光（2016）</w:t>
            </w:r>
            <w:r>
              <w:rPr>
                <w:rFonts w:hint="eastAsia" w:ascii="宋体" w:hAnsi="宋体" w:eastAsia="宋体"/>
                <w:sz w:val="24"/>
                <w:vertAlign w:val="superscript"/>
                <w:lang w:val="en-US" w:eastAsia="zh-CN"/>
              </w:rPr>
              <w:t>1</w:t>
            </w:r>
            <w:r>
              <w:rPr>
                <w:rFonts w:hint="eastAsia" w:ascii="宋体" w:hAnsi="宋体" w:eastAsia="宋体"/>
                <w:sz w:val="24"/>
                <w:lang w:val="en-US" w:eastAsia="zh-CN"/>
              </w:rPr>
              <w:t>通过收集消费品零售总额和我国移动互联网市场规模、移动支付市场规模的季度数据，进行平稳性分析和格兰杰因果检验，分析移动电子商务促进我国消费的增长。郭婷婷,王辉（2019）</w:t>
            </w:r>
            <w:r>
              <w:rPr>
                <w:rFonts w:hint="eastAsia" w:ascii="宋体" w:hAnsi="宋体" w:eastAsia="宋体"/>
                <w:sz w:val="24"/>
                <w:vertAlign w:val="superscript"/>
                <w:lang w:val="en-US" w:eastAsia="zh-CN"/>
              </w:rPr>
              <w:t>2</w:t>
            </w:r>
            <w:r>
              <w:rPr>
                <w:rFonts w:hint="eastAsia" w:ascii="宋体" w:hAnsi="宋体" w:eastAsia="宋体"/>
                <w:sz w:val="24"/>
                <w:lang w:val="en-US" w:eastAsia="zh-CN"/>
              </w:rPr>
              <w:t>采用主成分因子法构造电子商务销售指数，利用泰尔熵方法建立消费升级指数，运用线性回归和灰色度分析实证分析消费升级与电子商务规模之间的联系。连腾飞,蔡圣刚（2021）</w:t>
            </w:r>
            <w:r>
              <w:rPr>
                <w:rFonts w:hint="eastAsia" w:ascii="宋体" w:hAnsi="宋体" w:eastAsia="宋体"/>
                <w:sz w:val="24"/>
                <w:vertAlign w:val="superscript"/>
                <w:lang w:val="en-US" w:eastAsia="zh-CN"/>
              </w:rPr>
              <w:t>3</w:t>
            </w:r>
            <w:r>
              <w:rPr>
                <w:rFonts w:hint="eastAsia" w:ascii="宋体" w:hAnsi="宋体" w:eastAsia="宋体"/>
                <w:sz w:val="24"/>
                <w:lang w:val="en-US" w:eastAsia="zh-CN"/>
              </w:rPr>
              <w:t>使用2018年中国家庭追踪调查（CFPS）数据，分析网购对家庭消费结构的影响，在控制年龄、婚姻状况、受教育程度和健康状况等反映家庭经济情况及其成员个体特征的变量后，得出网购行为能促进家庭消费结构的升级结论。</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在消费升级的指标构建上，黄凯南,郝祥如（2021）</w:t>
            </w:r>
            <w:r>
              <w:rPr>
                <w:rFonts w:hint="eastAsia" w:ascii="宋体" w:hAnsi="宋体" w:eastAsia="宋体"/>
                <w:sz w:val="24"/>
                <w:vertAlign w:val="superscript"/>
                <w:lang w:val="en-US" w:eastAsia="zh-CN"/>
              </w:rPr>
              <w:t>4</w:t>
            </w:r>
            <w:r>
              <w:rPr>
                <w:rFonts w:hint="eastAsia" w:ascii="宋体" w:hAnsi="宋体" w:eastAsia="宋体"/>
                <w:sz w:val="24"/>
                <w:lang w:val="en-US" w:eastAsia="zh-CN"/>
              </w:rPr>
              <w:t>利用AIDS模型构建消费指数，计算八大类消费支出的支出弹性，以此来分析居民消费结构的变化特征。易贰,马静,陈曦（2021）</w:t>
            </w:r>
            <w:r>
              <w:rPr>
                <w:rFonts w:hint="eastAsia" w:ascii="宋体" w:hAnsi="宋体" w:eastAsia="宋体"/>
                <w:sz w:val="24"/>
                <w:vertAlign w:val="superscript"/>
                <w:lang w:val="en-US" w:eastAsia="zh-CN"/>
              </w:rPr>
              <w:t>5</w:t>
            </w:r>
            <w:r>
              <w:rPr>
                <w:rFonts w:hint="eastAsia" w:ascii="宋体" w:hAnsi="宋体" w:eastAsia="宋体"/>
                <w:sz w:val="24"/>
                <w:lang w:val="en-US" w:eastAsia="zh-CN"/>
              </w:rPr>
              <w:t>主要采用恩格尔系数来衡量居民消费结构，用阿里研究院发布的电子商务发展指数衡量电商嵌入，以北京大学发布的我国省级行政单位数字化金融发展指数衡量数字金融支持的代理变量，建立回归模型进行分析检验。张蕾（2020）非商品类消费/总消费衡量消费结构升级，以服务性消费支出弹性衡量消费习惯升级，构建电商发展、收入增长、信贷便利等渠道变量，做实证分析。</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电子商务发展的水平并无统一的衡量标准，前人学者的分析都有一定的进步性，但是这些指标在反映电子商务发展上存在局限性，难以评估电子商务发展的真正影响，因此为进一步探究电商发展与消费升级的关系，需进一步挖掘建立相关性更强的指标。</w:t>
            </w:r>
          </w:p>
          <w:p>
            <w:pPr>
              <w:keepNext w:val="0"/>
              <w:keepLines w:val="0"/>
              <w:pageBreakBefore w:val="0"/>
              <w:widowControl w:val="0"/>
              <w:numPr>
                <w:ilvl w:val="0"/>
                <w:numId w:val="1"/>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内容摘要</w:t>
            </w:r>
          </w:p>
          <w:p>
            <w:pPr>
              <w:keepNext w:val="0"/>
              <w:keepLines w:val="0"/>
              <w:pageBreakBefore w:val="0"/>
              <w:widowControl w:val="0"/>
              <w:numPr>
                <w:ilvl w:val="0"/>
                <w:numId w:val="2"/>
              </w:numPr>
              <w:kinsoku/>
              <w:wordWrap/>
              <w:overflowPunct/>
              <w:topLinePunct w:val="0"/>
              <w:autoSpaceDE/>
              <w:autoSpaceDN/>
              <w:bidi w:val="0"/>
              <w:adjustRightInd/>
              <w:snapToGrid w:val="0"/>
              <w:spacing w:line="324" w:lineRule="auto"/>
              <w:ind w:left="480" w:leftChars="0" w:firstLine="0" w:firstLineChars="0"/>
              <w:textAlignment w:val="auto"/>
              <w:rPr>
                <w:rFonts w:hint="eastAsia" w:ascii="宋体" w:hAnsi="宋体" w:eastAsia="宋体"/>
                <w:sz w:val="24"/>
                <w:lang w:val="en-US" w:eastAsia="zh-CN"/>
              </w:rPr>
            </w:pPr>
            <w:r>
              <w:rPr>
                <w:rFonts w:hint="eastAsia" w:ascii="宋体" w:hAnsi="宋体" w:eastAsia="宋体"/>
                <w:sz w:val="24"/>
                <w:lang w:val="en-US" w:eastAsia="zh-CN"/>
              </w:rPr>
              <w:t>电子商务发展指数构建</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电子商务服务行业的发展既包括消费、支付、物流、信息技术的发展，综合指标，选取全国电子商务公共服务网发布的电商指数，分别为：</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①成长指数，反映网络零售企业自身成长进步情况，由网络零售企业数量、销售规模、营业收入、资产规模、从业人员等细分指标构成。</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②参与指数，反映居民消费渠道变化情况，由网购活跃用户比例、人均消费额、用户在线情况等细分指标构成。</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③渗透指数，反映线上线下融合水平提升情况，由网络零售企业数量、销售规模、营业收入、资产规模、从业人员等在零售行业中的占比等细分指标构成。</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④环境指数，反映线上线下融合水平提升情况，由网络零售企业数量、销售规模、营业收入、资产规模、从业人员等在零售行业中的占比等细分指标构成。</w:t>
            </w:r>
          </w:p>
          <w:p>
            <w:pPr>
              <w:keepNext w:val="0"/>
              <w:keepLines w:val="0"/>
              <w:pageBreakBefore w:val="0"/>
              <w:widowControl w:val="0"/>
              <w:numPr>
                <w:ilvl w:val="0"/>
                <w:numId w:val="2"/>
              </w:numPr>
              <w:kinsoku/>
              <w:wordWrap/>
              <w:overflowPunct/>
              <w:topLinePunct w:val="0"/>
              <w:autoSpaceDE/>
              <w:autoSpaceDN/>
              <w:bidi w:val="0"/>
              <w:adjustRightInd/>
              <w:snapToGrid w:val="0"/>
              <w:spacing w:line="324" w:lineRule="auto"/>
              <w:ind w:left="480" w:leftChars="0" w:firstLine="0" w:firstLineChars="0"/>
              <w:textAlignment w:val="auto"/>
              <w:rPr>
                <w:rFonts w:hint="default" w:ascii="宋体" w:hAnsi="宋体" w:eastAsia="宋体"/>
                <w:sz w:val="24"/>
                <w:lang w:val="en-US" w:eastAsia="zh-CN"/>
              </w:rPr>
            </w:pPr>
            <w:r>
              <w:rPr>
                <w:rFonts w:hint="default" w:ascii="宋体" w:hAnsi="宋体" w:eastAsia="宋体"/>
                <w:sz w:val="24"/>
                <w:lang w:val="en-US" w:eastAsia="zh-CN"/>
              </w:rPr>
              <w:t>居民消费结构构建</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居民消费升级指标的构建借鉴前人AIDS模型的构建，研究居民消费水平、消费结构、高层次商品消费水平和生活必需品消费水平，根据面板数据进行分析，计算八大类消费支出的支出弹性，以此来分析居民消费结构的变化特征。 八大类消费支出数据主要 包括居民食品支出、衣着支出、居住支出、家庭设备与日用品支出、交通通信支出、文教娱乐支出、医疗保健支 出和其他支出等八大类消费支出以及居民消费总支出。 根据AIDS中支出弹性的计算结果， 将居民消费项目分为生活必需品和高层次商品，用高层次商品消费支出占总消费支出的比重来衡量居民消费结构。</w:t>
            </w:r>
          </w:p>
          <w:p>
            <w:pPr>
              <w:keepNext w:val="0"/>
              <w:keepLines w:val="0"/>
              <w:pageBreakBefore w:val="0"/>
              <w:widowControl w:val="0"/>
              <w:numPr>
                <w:ilvl w:val="0"/>
                <w:numId w:val="2"/>
              </w:numPr>
              <w:kinsoku/>
              <w:wordWrap/>
              <w:overflowPunct/>
              <w:topLinePunct w:val="0"/>
              <w:autoSpaceDE/>
              <w:autoSpaceDN/>
              <w:bidi w:val="0"/>
              <w:adjustRightInd/>
              <w:snapToGrid w:val="0"/>
              <w:spacing w:line="324" w:lineRule="auto"/>
              <w:ind w:left="480" w:leftChars="0" w:firstLine="0" w:firstLineChars="0"/>
              <w:textAlignment w:val="auto"/>
              <w:rPr>
                <w:rFonts w:hint="default" w:ascii="宋体" w:hAnsi="宋体" w:eastAsia="宋体"/>
                <w:sz w:val="24"/>
                <w:lang w:val="en-US" w:eastAsia="zh-CN"/>
              </w:rPr>
            </w:pPr>
            <w:r>
              <w:rPr>
                <w:rFonts w:hint="eastAsia" w:ascii="宋体" w:hAnsi="宋体" w:eastAsia="宋体"/>
                <w:sz w:val="24"/>
                <w:lang w:val="en-US" w:eastAsia="zh-CN"/>
              </w:rPr>
              <w:t>建立模型实证分析</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结合指标数据进行 OLS回归分析，判定电商发展是否促进了消费升级趋势，根据分析结果，再进一步做稳健性检验。</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根据分析结果和问题，总结结论和提出建议。</w:t>
            </w:r>
          </w:p>
          <w:p>
            <w:pPr>
              <w:ind w:firstLine="480" w:firstLineChars="200"/>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电子商务发展与消费升级关系的实证分析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第1章 绪论</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1.1研究背景与意义</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1.2文献综述</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1.3理论基础</w:t>
            </w:r>
            <w:r>
              <w:rPr>
                <w:rFonts w:hint="eastAsia" w:ascii="宋体" w:hAnsi="宋体" w:eastAsia="宋体"/>
                <w:sz w:val="24"/>
              </w:rPr>
              <w:tab/>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1.4研究思路与框架</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1.5创新点与不足</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第2章 核心概念界定与理论分析</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2.1核心概念界定</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rPr>
            </w:pPr>
            <w:r>
              <w:rPr>
                <w:rFonts w:hint="eastAsia" w:ascii="宋体" w:hAnsi="宋体" w:eastAsia="宋体"/>
                <w:sz w:val="24"/>
              </w:rPr>
              <w:t>2.1.1电子商务发展</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rPr>
            </w:pPr>
            <w:r>
              <w:rPr>
                <w:rFonts w:hint="eastAsia" w:ascii="宋体" w:hAnsi="宋体" w:eastAsia="宋体"/>
                <w:sz w:val="24"/>
              </w:rPr>
              <w:t>2.1.2消费升级</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2.2理论分析</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rPr>
            </w:pPr>
            <w:r>
              <w:rPr>
                <w:rFonts w:hint="eastAsia" w:ascii="宋体" w:hAnsi="宋体" w:eastAsia="宋体"/>
                <w:sz w:val="24"/>
              </w:rPr>
              <w:t>2.2.1电子商务发展对消费升级的影响</w:t>
            </w:r>
          </w:p>
          <w:p>
            <w:pPr>
              <w:keepNext w:val="0"/>
              <w:keepLines w:val="0"/>
              <w:pageBreakBefore w:val="0"/>
              <w:widowControl w:val="0"/>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rPr>
            </w:pPr>
            <w:r>
              <w:rPr>
                <w:rFonts w:hint="eastAsia" w:ascii="宋体" w:hAnsi="宋体" w:eastAsia="宋体"/>
                <w:sz w:val="24"/>
              </w:rPr>
              <w:t>2.2.2电子商务发展促进消费升级的影响机制</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第3章 指标构建与样本选取</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3.1数据来源</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3.2被解释变量描述</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3.3解释变量描述</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第4章 实证分析</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4.1变量的相关性检验</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4.2模型设定</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4.3模型估计与结果分析</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4.4稳健性检验</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第5章 结论结论与政策建议</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5.1结论研究</w:t>
            </w:r>
          </w:p>
          <w:p>
            <w:pPr>
              <w:keepNext w:val="0"/>
              <w:keepLines w:val="0"/>
              <w:pageBreakBefore w:val="0"/>
              <w:widowControl w:val="0"/>
              <w:kinsoku/>
              <w:wordWrap/>
              <w:overflowPunct/>
              <w:topLinePunct w:val="0"/>
              <w:autoSpaceDE/>
              <w:autoSpaceDN/>
              <w:bidi w:val="0"/>
              <w:adjustRightInd/>
              <w:snapToGrid w:val="0"/>
              <w:spacing w:line="324" w:lineRule="auto"/>
              <w:ind w:firstLine="240" w:firstLineChars="100"/>
              <w:textAlignment w:val="auto"/>
              <w:rPr>
                <w:rFonts w:hint="eastAsia" w:ascii="宋体" w:hAnsi="宋体" w:eastAsia="宋体"/>
                <w:sz w:val="24"/>
              </w:rPr>
            </w:pPr>
            <w:r>
              <w:rPr>
                <w:rFonts w:hint="eastAsia" w:ascii="宋体" w:hAnsi="宋体" w:eastAsia="宋体"/>
                <w:sz w:val="24"/>
              </w:rPr>
              <w:t>5.2政策建议</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参考文献</w:t>
            </w:r>
          </w:p>
          <w:p>
            <w:pPr>
              <w:keepNext w:val="0"/>
              <w:keepLines w:val="0"/>
              <w:pageBreakBefore w:val="0"/>
              <w:widowControl w:val="0"/>
              <w:kinsoku/>
              <w:wordWrap/>
              <w:overflowPunct/>
              <w:topLinePunct w:val="0"/>
              <w:autoSpaceDE/>
              <w:autoSpaceDN/>
              <w:bidi w:val="0"/>
              <w:adjustRightInd/>
              <w:snapToGrid w:val="0"/>
              <w:spacing w:line="324" w:lineRule="auto"/>
              <w:textAlignment w:val="auto"/>
              <w:rPr>
                <w:rFonts w:hint="eastAsia" w:ascii="宋体" w:hAnsi="宋体" w:eastAsia="宋体"/>
                <w:sz w:val="24"/>
              </w:rPr>
            </w:pPr>
            <w:r>
              <w:rPr>
                <w:rFonts w:hint="eastAsia" w:ascii="宋体" w:hAnsi="宋体" w:eastAsia="宋体"/>
                <w:sz w:val="24"/>
              </w:rPr>
              <w:t>致 谢</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keepNext w:val="0"/>
              <w:keepLines w:val="0"/>
              <w:pageBreakBefore w:val="0"/>
              <w:widowControl w:val="0"/>
              <w:numPr>
                <w:ilvl w:val="0"/>
                <w:numId w:val="3"/>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论文素材：</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[1]刘富光.移动电子商务对我国消费的影响[D].广州:华南理工大学,2016.</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[2]郭婷婷 ,王辉.消费升级与电子商务规模关系的实证分析—基于泰尔熵方法[J].商业经济研究,2019,15:50-62.</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[3]连腾飞,蔡圣刚.网购促进家庭消费升级了吗？[J].深圳社会科学,2021,4(3):61-67.</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[4]黄凯南,郝祥如.数字金融是否促进了居民消费升级？[J].山东社会科学,2021,1:117-125.</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[5]易贰 ,马静,陈曦.数字金融支持、电商嵌入与居民消费升级关系探讨[J].商业经济研究,2021,4:94-97.</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eastAsia" w:ascii="宋体" w:hAnsi="宋体" w:eastAsia="宋体"/>
                <w:sz w:val="24"/>
                <w:lang w:val="en-US" w:eastAsia="zh-CN"/>
              </w:rPr>
            </w:pPr>
            <w:r>
              <w:rPr>
                <w:rFonts w:hint="eastAsia" w:ascii="宋体" w:hAnsi="宋体" w:eastAsia="宋体"/>
                <w:sz w:val="24"/>
                <w:lang w:val="en-US" w:eastAsia="zh-CN"/>
              </w:rPr>
              <w:t>[6]张蕾.互联网普及促进居民消费升级的渠道效应分析[J].商业经济研究,2020,16:52-55.</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textAlignment w:val="auto"/>
              <w:rPr>
                <w:rFonts w:hint="default" w:ascii="宋体" w:hAnsi="宋体" w:eastAsia="宋体"/>
                <w:sz w:val="24"/>
                <w:lang w:val="en-US" w:eastAsia="zh-CN"/>
              </w:rPr>
            </w:pPr>
            <w:r>
              <w:rPr>
                <w:rFonts w:hint="eastAsia" w:ascii="宋体" w:hAnsi="宋体" w:eastAsia="宋体"/>
                <w:sz w:val="24"/>
                <w:lang w:val="en-US" w:eastAsia="zh-CN"/>
              </w:rPr>
              <w:t>[7]中国电子商务报告、中国居民消费升级报告</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二、数据来源：</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1.2013年—2019年的《中国电子商务报告》（商务部电子商务和信息化司发布）</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2.2015年—2021年各季度的电商指数（全国电子商务公共服务网发布）</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sz w:val="24"/>
                <w:lang w:val="en-US" w:eastAsia="zh-CN"/>
              </w:rPr>
            </w:pPr>
            <w:r>
              <w:rPr>
                <w:rFonts w:hint="eastAsia" w:ascii="宋体" w:hAnsi="宋体" w:eastAsia="宋体"/>
                <w:sz w:val="24"/>
                <w:lang w:val="en-US" w:eastAsia="zh-CN"/>
              </w:rPr>
              <w:t>3.各年居民收入和消费支出情况（国家统计局发布）</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三、参考书目：</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1.《经济学研究方法导论》冯科、何理编著</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eastAsia" w:ascii="宋体" w:hAnsi="宋体" w:eastAsia="宋体"/>
                <w:sz w:val="24"/>
                <w:lang w:val="en-US" w:eastAsia="zh-CN"/>
              </w:rPr>
            </w:pPr>
            <w:r>
              <w:rPr>
                <w:rFonts w:hint="eastAsia" w:ascii="宋体" w:hAnsi="宋体" w:eastAsia="宋体"/>
                <w:sz w:val="24"/>
                <w:lang w:val="en-US" w:eastAsia="zh-CN"/>
              </w:rPr>
              <w:t>2.计量经济学导论现代观点</w:t>
            </w:r>
            <w:r>
              <w:rPr>
                <w:rFonts w:hint="eastAsia" w:ascii="宋体" w:hAnsi="宋体" w:eastAsia="宋体"/>
                <w:sz w:val="18"/>
                <w:szCs w:val="18"/>
                <w:lang w:val="en-US" w:eastAsia="zh-CN"/>
              </w:rPr>
              <w:t>（第五版）</w:t>
            </w:r>
            <w:r>
              <w:rPr>
                <w:rFonts w:hint="eastAsia" w:ascii="宋体" w:hAnsi="宋体" w:eastAsia="宋体"/>
                <w:sz w:val="24"/>
                <w:lang w:val="en-US" w:eastAsia="zh-CN"/>
              </w:rPr>
              <w:t>杰弗里·M·伍德里奇著</w:t>
            </w:r>
          </w:p>
          <w:p>
            <w:pPr>
              <w:keepNext w:val="0"/>
              <w:keepLines w:val="0"/>
              <w:pageBreakBefore w:val="0"/>
              <w:widowControl w:val="0"/>
              <w:numPr>
                <w:ilvl w:val="0"/>
                <w:numId w:val="0"/>
              </w:numPr>
              <w:kinsoku/>
              <w:wordWrap/>
              <w:overflowPunct/>
              <w:topLinePunct w:val="0"/>
              <w:autoSpaceDE/>
              <w:autoSpaceDN/>
              <w:bidi w:val="0"/>
              <w:adjustRightInd/>
              <w:snapToGrid w:val="0"/>
              <w:spacing w:line="324" w:lineRule="auto"/>
              <w:ind w:firstLine="480" w:firstLineChars="200"/>
              <w:textAlignment w:val="auto"/>
              <w:rPr>
                <w:rFonts w:hint="default" w:ascii="宋体" w:hAnsi="宋体" w:eastAsia="宋体" w:cs="宋体"/>
                <w:color w:val="000000"/>
                <w:kern w:val="0"/>
                <w:sz w:val="18"/>
                <w:szCs w:val="18"/>
                <w:lang w:val="en-US" w:eastAsia="zh-CN"/>
              </w:rPr>
            </w:pPr>
            <w:r>
              <w:rPr>
                <w:rFonts w:hint="eastAsia" w:ascii="宋体" w:hAnsi="宋体" w:eastAsia="宋体"/>
                <w:sz w:val="24"/>
                <w:lang w:val="en-US" w:eastAsia="zh-CN"/>
              </w:rPr>
              <w:t>3.西方经济学（微观部分·第六版）高鸿业主编</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楷体简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12757"/>
    <w:multiLevelType w:val="singleLevel"/>
    <w:tmpl w:val="E0F12757"/>
    <w:lvl w:ilvl="0" w:tentative="0">
      <w:start w:val="2"/>
      <w:numFmt w:val="chineseCounting"/>
      <w:suff w:val="nothing"/>
      <w:lvlText w:val="%1、"/>
      <w:lvlJc w:val="left"/>
      <w:rPr>
        <w:rFonts w:hint="eastAsia"/>
      </w:rPr>
    </w:lvl>
  </w:abstractNum>
  <w:abstractNum w:abstractNumId="1">
    <w:nsid w:val="E44A0D1B"/>
    <w:multiLevelType w:val="singleLevel"/>
    <w:tmpl w:val="E44A0D1B"/>
    <w:lvl w:ilvl="0" w:tentative="0">
      <w:start w:val="1"/>
      <w:numFmt w:val="chineseCounting"/>
      <w:suff w:val="nothing"/>
      <w:lvlText w:val="（%1）"/>
      <w:lvlJc w:val="left"/>
      <w:pPr>
        <w:ind w:left="480" w:leftChars="0" w:firstLine="0" w:firstLineChars="0"/>
      </w:pPr>
      <w:rPr>
        <w:rFonts w:hint="eastAsia"/>
      </w:rPr>
    </w:lvl>
  </w:abstractNum>
  <w:abstractNum w:abstractNumId="2">
    <w:nsid w:val="119437E7"/>
    <w:multiLevelType w:val="singleLevel"/>
    <w:tmpl w:val="119437E7"/>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616E"/>
    <w:rsid w:val="00111AC2"/>
    <w:rsid w:val="001C3791"/>
    <w:rsid w:val="001D4ABC"/>
    <w:rsid w:val="001F2172"/>
    <w:rsid w:val="003C213C"/>
    <w:rsid w:val="00556D05"/>
    <w:rsid w:val="00761113"/>
    <w:rsid w:val="00807310"/>
    <w:rsid w:val="009D0666"/>
    <w:rsid w:val="00A32456"/>
    <w:rsid w:val="00AB5DD7"/>
    <w:rsid w:val="00E5705C"/>
    <w:rsid w:val="01376389"/>
    <w:rsid w:val="034A611E"/>
    <w:rsid w:val="082C1390"/>
    <w:rsid w:val="0C5737C6"/>
    <w:rsid w:val="0DA35A57"/>
    <w:rsid w:val="0E1D10AD"/>
    <w:rsid w:val="13D7715C"/>
    <w:rsid w:val="18021A1C"/>
    <w:rsid w:val="191C1D6E"/>
    <w:rsid w:val="1C056B33"/>
    <w:rsid w:val="1C8527E8"/>
    <w:rsid w:val="202440EE"/>
    <w:rsid w:val="249955B4"/>
    <w:rsid w:val="28601882"/>
    <w:rsid w:val="28BC4B10"/>
    <w:rsid w:val="2B1901A6"/>
    <w:rsid w:val="2C912C93"/>
    <w:rsid w:val="2DA16168"/>
    <w:rsid w:val="2F9C5801"/>
    <w:rsid w:val="338911C7"/>
    <w:rsid w:val="359E2D0E"/>
    <w:rsid w:val="37D155A3"/>
    <w:rsid w:val="384359D3"/>
    <w:rsid w:val="38EF4233"/>
    <w:rsid w:val="395B1556"/>
    <w:rsid w:val="3F411151"/>
    <w:rsid w:val="41CF0E74"/>
    <w:rsid w:val="507C1076"/>
    <w:rsid w:val="508257FA"/>
    <w:rsid w:val="51EA573C"/>
    <w:rsid w:val="51EE7BD8"/>
    <w:rsid w:val="56AF3BC5"/>
    <w:rsid w:val="56E70990"/>
    <w:rsid w:val="57A37F5A"/>
    <w:rsid w:val="581F47FE"/>
    <w:rsid w:val="591B27CA"/>
    <w:rsid w:val="5A702D54"/>
    <w:rsid w:val="657B26F8"/>
    <w:rsid w:val="66004B04"/>
    <w:rsid w:val="66917766"/>
    <w:rsid w:val="66C00999"/>
    <w:rsid w:val="677627C8"/>
    <w:rsid w:val="68E24C33"/>
    <w:rsid w:val="70351FE6"/>
    <w:rsid w:val="7055747E"/>
    <w:rsid w:val="764B363D"/>
    <w:rsid w:val="7C2E2BC1"/>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10</TotalTime>
  <ScaleCrop>false</ScaleCrop>
  <LinksUpToDate>false</LinksUpToDate>
  <CharactersWithSpaces>471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燕珊</cp:lastModifiedBy>
  <dcterms:modified xsi:type="dcterms:W3CDTF">2021-06-02T03:20:16Z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D6CEC37CA6C34D1BB6D2FF404866F167</vt:lpwstr>
  </property>
</Properties>
</file>