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hint="eastAsia"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71041276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魏玉华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15589112667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674940706@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内蒙古师范大学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公共事业管理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中国平安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信贷咨询顾问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8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pStyle w:val="2"/>
              <w:spacing w:before="0" w:beforeAutospacing="0" w:after="120" w:afterAutospacing="0"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eastAsia="zh-CN"/>
              </w:rPr>
              <w:t>9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 xml:space="preserve"> -- 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eastAsia="zh-CN"/>
              </w:rPr>
              <w:t>至今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 xml:space="preserve">     </w:t>
            </w:r>
            <w:r>
              <w:rPr>
                <w:rFonts w:hint="default" w:ascii="微软雅黑" w:hAnsi="微软雅黑" w:eastAsia="微软雅黑" w:cs="宋体"/>
                <w:b/>
                <w:bCs/>
                <w:color w:val="191919"/>
                <w:sz w:val="22"/>
                <w:szCs w:val="22"/>
                <w:lang w:val="en-US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val="en-US" w:eastAsia="zh-Hans"/>
              </w:rPr>
              <w:t>中国平安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 xml:space="preserve">    </w:t>
            </w:r>
            <w:r>
              <w:rPr>
                <w:rFonts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val="en-US" w:eastAsia="zh-Hans"/>
              </w:rPr>
              <w:t>信贷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eastAsia="zh-CN"/>
              </w:rPr>
              <w:t>咨询顾问</w:t>
            </w:r>
          </w:p>
          <w:p>
            <w:pPr>
              <w:pStyle w:val="2"/>
              <w:spacing w:before="0" w:beforeAutospacing="0" w:after="0" w:afterAutospacing="0"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2"/>
              </w:rPr>
              <w:t>工作描述：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  <w:lang w:val="en-US" w:eastAsia="zh-Hans"/>
              </w:rPr>
              <w:t>挖掘客户需求</w:t>
            </w:r>
            <w:r>
              <w:rPr>
                <w:rFonts w:hint="default" w:ascii="微软雅黑" w:hAnsi="微软雅黑" w:eastAsia="微软雅黑"/>
                <w:sz w:val="22"/>
                <w:lang w:val="en-US"/>
              </w:rPr>
              <w:t>，</w:t>
            </w:r>
            <w:r>
              <w:rPr>
                <w:rFonts w:hint="eastAsia" w:ascii="微软雅黑" w:hAnsi="微软雅黑" w:eastAsia="微软雅黑"/>
                <w:sz w:val="22"/>
                <w:lang w:val="en-US" w:eastAsia="zh-Hans"/>
              </w:rPr>
              <w:t>处理</w:t>
            </w:r>
            <w:r>
              <w:rPr>
                <w:rFonts w:hint="default" w:ascii="微软雅黑" w:hAnsi="微软雅黑" w:eastAsia="微软雅黑"/>
                <w:sz w:val="22"/>
                <w:lang w:val="en-US"/>
              </w:rPr>
              <w:t>异议，并及时促单</w:t>
            </w: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2"/>
              </w:rPr>
              <w:t>；</w:t>
            </w: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2"/>
                <w:lang w:val="en-US" w:eastAsia="zh-Hans"/>
              </w:rPr>
              <w:t>在这个过程中培养了合规意识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  <w:rPr>
                <w:rFonts w:hint="eastAsia"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  <w:lang w:val="en-US"/>
              </w:rPr>
              <w:t>具有良好的拼搏和敢于挑战的精神。</w:t>
            </w:r>
          </w:p>
          <w:p>
            <w:pPr>
              <w:pStyle w:val="2"/>
              <w:spacing w:before="0" w:beforeAutospacing="0" w:after="120" w:afterAutospacing="0" w:line="360" w:lineRule="exact"/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val="en-US" w:eastAsia="zh-Hans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eastAsia="zh-CN"/>
              </w:rPr>
              <w:t xml:space="preserve">2018.03--2019.05  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val="en-US" w:eastAsia="zh-Hans"/>
              </w:rPr>
              <w:t>上海大宗贸易有限公司</w:t>
            </w:r>
            <w:r>
              <w:rPr>
                <w:rFonts w:hint="default" w:ascii="微软雅黑" w:hAnsi="微软雅黑" w:eastAsia="微软雅黑" w:cs="宋体"/>
                <w:b/>
                <w:bCs/>
                <w:color w:val="191919"/>
                <w:sz w:val="22"/>
                <w:szCs w:val="22"/>
                <w:lang w:eastAsia="zh-Hans"/>
              </w:rPr>
              <w:t xml:space="preserve">     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191919"/>
                <w:sz w:val="22"/>
                <w:szCs w:val="22"/>
                <w:lang w:val="en-US" w:eastAsia="zh-Hans"/>
              </w:rPr>
              <w:t>财务会计</w:t>
            </w:r>
          </w:p>
          <w:p>
            <w:pPr>
              <w:pStyle w:val="2"/>
              <w:spacing w:before="0" w:beforeAutospacing="0" w:after="120" w:afterAutospacing="0" w:line="360" w:lineRule="exact"/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val="en-US" w:eastAsia="zh-Hans"/>
              </w:rPr>
            </w:pPr>
            <w:r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</w:rPr>
              <w:t>工作描述：</w:t>
            </w:r>
          </w:p>
          <w:p>
            <w:pPr>
              <w:pStyle w:val="2"/>
              <w:spacing w:before="0" w:beforeAutospacing="0" w:after="120" w:afterAutospacing="0" w:line="360" w:lineRule="exact"/>
              <w:ind w:firstLine="440"/>
              <w:rPr>
                <w:rFonts w:hint="default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eastAsia="zh-Hans"/>
              </w:rPr>
            </w:pPr>
            <w:r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val="en-US" w:eastAsia="zh-Hans"/>
              </w:rPr>
              <w:t>负责外包财务业务</w:t>
            </w:r>
            <w:r>
              <w:rPr>
                <w:rFonts w:hint="default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val="en-US" w:eastAsia="zh-Hans"/>
              </w:rPr>
              <w:t>如企业账户的开立</w:t>
            </w:r>
            <w:r>
              <w:rPr>
                <w:rFonts w:hint="default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val="en-US" w:eastAsia="zh-Hans"/>
              </w:rPr>
              <w:t>变更和注销</w:t>
            </w:r>
            <w:r>
              <w:rPr>
                <w:rFonts w:hint="default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val="en-US" w:eastAsia="zh-Hans"/>
              </w:rPr>
              <w:t>以及报税申报和年度报表的发布</w:t>
            </w:r>
            <w:r>
              <w:rPr>
                <w:rFonts w:hint="default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val="en-US" w:eastAsia="zh-Hans"/>
              </w:rPr>
              <w:t>经历了一个企业财务制度的从无到有过程</w:t>
            </w:r>
            <w:r>
              <w:rPr>
                <w:rFonts w:hint="default" w:ascii="微软雅黑" w:hAnsi="微软雅黑" w:eastAsia="微软雅黑" w:cs="宋体"/>
                <w:b w:val="0"/>
                <w:bCs w:val="0"/>
                <w:color w:val="191919"/>
                <w:sz w:val="22"/>
                <w:szCs w:val="22"/>
                <w:lang w:eastAsia="zh-Hans"/>
              </w:rPr>
              <w:t>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</w:tbl>
    <w:p/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7151"/>
      </w:tblGrid>
      <w:tr>
        <w:trPr>
          <w:trHeight w:val="68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互联网信贷对商业银行的影响</w:t>
            </w:r>
          </w:p>
        </w:tc>
      </w:tr>
      <w:tr>
        <w:trPr>
          <w:trHeight w:val="256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7151" w:type="dxa"/>
            <w:vAlign w:val="center"/>
          </w:tcPr>
          <w:p>
            <w:pPr>
              <w:ind w:firstLine="600" w:firstLineChars="25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互联网信贷作为一种新兴信贷模式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具有手续简单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放款快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门槛低的特点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相较于传统商业银行有着或多或少的影响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是机遇还是挑战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翻阅文献发现关于这个话题研究的挺多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但是实证分析的很少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本文通过实证分析给大家一些有价值的参考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互联网信贷对商业银行信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贷业务影响的实证研究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6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7151" w:type="dxa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绪论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1.1 </w:t>
            </w:r>
            <w:r>
              <w:rPr>
                <w:rFonts w:hint="eastAsia"/>
                <w:lang w:val="en-US" w:eastAsia="zh-Hans"/>
              </w:rPr>
              <w:t>研究背景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1.2</w:t>
            </w:r>
            <w:r>
              <w:rPr>
                <w:rFonts w:hint="eastAsia"/>
                <w:lang w:val="en-US" w:eastAsia="zh-Hans"/>
              </w:rPr>
              <w:t>研究意义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1.3</w:t>
            </w:r>
            <w:r>
              <w:rPr>
                <w:rFonts w:hint="eastAsia"/>
                <w:lang w:val="en-US" w:eastAsia="zh-Hans"/>
              </w:rPr>
              <w:t>研究思路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1.4</w:t>
            </w:r>
            <w:r>
              <w:rPr>
                <w:rFonts w:hint="eastAsia"/>
                <w:lang w:val="en-US" w:eastAsia="zh-Hans"/>
              </w:rPr>
              <w:t>本文创新之处与不足之处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文献综述与理论基础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2.1</w:t>
            </w:r>
            <w:r>
              <w:rPr>
                <w:rFonts w:hint="eastAsia"/>
                <w:lang w:val="en-US" w:eastAsia="zh-Hans"/>
              </w:rPr>
              <w:t>基本概念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2.2</w:t>
            </w:r>
            <w:r>
              <w:rPr>
                <w:rFonts w:hint="eastAsia"/>
                <w:lang w:val="en-US" w:eastAsia="zh-Hans"/>
              </w:rPr>
              <w:t>文献综述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2.3</w:t>
            </w:r>
            <w:r>
              <w:rPr>
                <w:rFonts w:hint="eastAsia"/>
                <w:lang w:val="en-US" w:eastAsia="zh-Hans"/>
              </w:rPr>
              <w:t>长尾理论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2.4</w:t>
            </w:r>
            <w:r>
              <w:rPr>
                <w:rFonts w:hint="eastAsia"/>
                <w:lang w:val="en-US" w:eastAsia="zh-Hans"/>
              </w:rPr>
              <w:t>信息不对称理论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指标构建与样本选取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3.1</w:t>
            </w:r>
            <w:r>
              <w:rPr>
                <w:rFonts w:hint="eastAsia"/>
                <w:lang w:val="en-US" w:eastAsia="zh-Hans"/>
              </w:rPr>
              <w:t>被解释变量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3.2</w:t>
            </w:r>
            <w:r>
              <w:rPr>
                <w:rFonts w:hint="eastAsia"/>
                <w:lang w:val="en-US" w:eastAsia="zh-Hans"/>
              </w:rPr>
              <w:t>解释变量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3.3</w:t>
            </w:r>
            <w:r>
              <w:rPr>
                <w:rFonts w:hint="eastAsia"/>
                <w:lang w:val="en-US" w:eastAsia="zh-Hans"/>
              </w:rPr>
              <w:t>控制变量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3.4</w:t>
            </w:r>
            <w:r>
              <w:rPr>
                <w:rFonts w:hint="eastAsia"/>
                <w:lang w:val="en-US" w:eastAsia="zh-Hans"/>
              </w:rPr>
              <w:t>样本选取与数据来源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实证分析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4.1</w:t>
            </w:r>
            <w:r>
              <w:rPr>
                <w:rFonts w:hint="eastAsia"/>
                <w:lang w:val="en-US" w:eastAsia="zh-Hans"/>
              </w:rPr>
              <w:t>变量预处理与共线性分析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4.2</w:t>
            </w:r>
            <w:r>
              <w:rPr>
                <w:rFonts w:hint="eastAsia"/>
                <w:lang w:val="en-US" w:eastAsia="zh-Hans"/>
              </w:rPr>
              <w:t>模型设定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4.3</w:t>
            </w:r>
            <w:r>
              <w:rPr>
                <w:rFonts w:hint="eastAsia"/>
                <w:lang w:val="en-US" w:eastAsia="zh-Hans"/>
              </w:rPr>
              <w:t>模型估计与结果分析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4.4</w:t>
            </w:r>
            <w:r>
              <w:rPr>
                <w:rFonts w:hint="eastAsia"/>
                <w:lang w:val="en-US" w:eastAsia="zh-Hans"/>
              </w:rPr>
              <w:t>稳健型检验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4.5</w:t>
            </w:r>
            <w:r>
              <w:rPr>
                <w:rFonts w:hint="eastAsia"/>
                <w:lang w:val="en-US" w:eastAsia="zh-Hans"/>
              </w:rPr>
              <w:t>进一步分析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异质性检验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研究结论与政策建议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  5.1</w:t>
            </w:r>
            <w:r>
              <w:rPr>
                <w:rFonts w:hint="eastAsia"/>
                <w:lang w:val="en-US" w:eastAsia="zh-Hans"/>
              </w:rPr>
              <w:t>研究结论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5.2</w:t>
            </w:r>
            <w:r>
              <w:rPr>
                <w:rFonts w:hint="eastAsia"/>
                <w:lang w:val="en-US" w:eastAsia="zh-Hans"/>
              </w:rPr>
              <w:t>政策建议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参考文献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  <w:lang w:val="en-US" w:eastAsia="zh-Hans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3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7151" w:type="dxa"/>
            <w:vAlign w:val="center"/>
          </w:tcPr>
          <w:p/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论文素材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中国知网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维普网</w:t>
            </w:r>
            <w:r>
              <w:rPr>
                <w:rFonts w:hint="default"/>
                <w:lang w:eastAsia="zh-Hans"/>
              </w:rPr>
              <w:t xml:space="preserve"> 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数据来源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中国人民银行网站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统计年鉴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参考文献</w:t>
            </w:r>
            <w:r>
              <w:rPr>
                <w:rFonts w:hint="default"/>
                <w:lang w:eastAsia="zh-Hans"/>
              </w:rPr>
              <w:t>：</w:t>
            </w:r>
          </w:p>
          <w:p>
            <w:r>
              <w:t>1.</w:t>
            </w:r>
            <w:r>
              <w:rPr>
                <w:rFonts w:hint="eastAsia"/>
                <w:lang w:val="en-US" w:eastAsia="zh-Hans"/>
              </w:rPr>
              <w:t>赵姝铭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知识经济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互联网金融对商业银行信贷产品影响分析</w:t>
            </w:r>
          </w:p>
          <w:p>
            <w:r>
              <w:t>2.</w:t>
            </w:r>
            <w:r>
              <w:rPr>
                <w:rFonts w:hint="eastAsia"/>
                <w:lang w:val="en-US" w:eastAsia="zh-Hans"/>
              </w:rPr>
              <w:t>郭毯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农村经济与科技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互联网金融影响下传统银行发展策略分析</w:t>
            </w:r>
          </w:p>
          <w:p>
            <w:r>
              <w:t>3.</w:t>
            </w:r>
            <w:r>
              <w:rPr>
                <w:rFonts w:hint="eastAsia"/>
                <w:lang w:val="en-US" w:eastAsia="zh-Hans"/>
              </w:rPr>
              <w:t>练丹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科技经济导刊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互联网金融对商业银行信贷业务的影响</w:t>
            </w:r>
          </w:p>
          <w:p>
            <w:r>
              <w:t>4.</w:t>
            </w:r>
            <w:r>
              <w:rPr>
                <w:rFonts w:hint="eastAsia"/>
                <w:lang w:val="en-US" w:eastAsia="zh-Hans"/>
              </w:rPr>
              <w:t>包芸夕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郭敏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宋奇庆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商业经济研究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基于</w:t>
            </w:r>
            <w:r>
              <w:rPr>
                <w:rFonts w:hint="default"/>
                <w:lang w:eastAsia="zh-Hans"/>
              </w:rPr>
              <w:t>PVAR</w:t>
            </w:r>
            <w:r>
              <w:rPr>
                <w:rFonts w:hint="eastAsia"/>
                <w:lang w:val="en-US" w:eastAsia="zh-Hans"/>
              </w:rPr>
              <w:t>的互联网金融与商业银行相互影响研究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0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000020507"/>
    <w:charset w:val="00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000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000030204"/>
    <w:charset w:val="00"/>
    <w:family w:val="swiss"/>
    <w:pitch w:val="default"/>
    <w:sig w:usb0="00000000" w:usb1="00000000" w:usb2="00000000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BAD4C7"/>
    <w:multiLevelType w:val="multilevel"/>
    <w:tmpl w:val="60BAD4C7"/>
    <w:lvl w:ilvl="0" w:tentative="0">
      <w:start w:val="1"/>
      <w:numFmt w:val="decimal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B5DD7"/>
    <w:rsid w:val="1BA6E411"/>
    <w:rsid w:val="2EB17075"/>
    <w:rsid w:val="37EF7A63"/>
    <w:rsid w:val="47E1EFA9"/>
    <w:rsid w:val="499A6F84"/>
    <w:rsid w:val="54DD7E97"/>
    <w:rsid w:val="57D386B5"/>
    <w:rsid w:val="5BDFFB1C"/>
    <w:rsid w:val="5F1E06A9"/>
    <w:rsid w:val="5FBFE777"/>
    <w:rsid w:val="6EF54416"/>
    <w:rsid w:val="71FD114E"/>
    <w:rsid w:val="761F6AAE"/>
    <w:rsid w:val="76AF689E"/>
    <w:rsid w:val="79DF8889"/>
    <w:rsid w:val="7AB867B7"/>
    <w:rsid w:val="7DEF593B"/>
    <w:rsid w:val="7ECB3C84"/>
    <w:rsid w:val="7F3F2DDE"/>
    <w:rsid w:val="7FD74766"/>
    <w:rsid w:val="7FFF99A6"/>
    <w:rsid w:val="87808C43"/>
    <w:rsid w:val="8B7DA905"/>
    <w:rsid w:val="97FF0F78"/>
    <w:rsid w:val="B2EB7A46"/>
    <w:rsid w:val="B7FF5862"/>
    <w:rsid w:val="BEBF87EC"/>
    <w:rsid w:val="BFDD4C4E"/>
    <w:rsid w:val="D34A43D3"/>
    <w:rsid w:val="D7FFD163"/>
    <w:rsid w:val="DD35831F"/>
    <w:rsid w:val="EE9BD00C"/>
    <w:rsid w:val="F16F7A14"/>
    <w:rsid w:val="F7D3C1F4"/>
    <w:rsid w:val="FB7F275E"/>
    <w:rsid w:val="FDFFCA56"/>
    <w:rsid w:val="FE9FA3AC"/>
    <w:rsid w:val="FEF74D1C"/>
    <w:rsid w:val="FFDFB253"/>
    <w:rsid w:val="FFE3E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_7e985b4e-fe63-4eb0-8a92-c209e2772077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391</Characters>
  <Lines>3</Lines>
  <Paragraphs>1</Paragraphs>
  <ScaleCrop>false</ScaleCrop>
  <LinksUpToDate>false</LinksUpToDate>
  <CharactersWithSpaces>458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2021-01-23T16:38:00Z</dcterms:created>
  <dc:creator>Qi Hang</dc:creator>
  <cp:lastModifiedBy>apple</cp:lastModifiedBy>
  <dcterms:modified xsi:type="dcterms:W3CDTF">2021-06-07T17:26:04Z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