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75DF1D" w14:textId="6BFE9D9B" w:rsidR="00AB5DD7" w:rsidRPr="00AB5DD7" w:rsidRDefault="00AB5DD7" w:rsidP="00AB5DD7">
      <w:pPr>
        <w:jc w:val="center"/>
        <w:rPr>
          <w:rFonts w:ascii="宋体" w:eastAsia="宋体" w:hAnsi="宋体"/>
          <w:b/>
          <w:sz w:val="36"/>
          <w:szCs w:val="36"/>
        </w:rPr>
      </w:pPr>
      <w:r w:rsidRPr="00AB5DD7">
        <w:rPr>
          <w:rFonts w:ascii="宋体" w:eastAsia="宋体" w:hAnsi="宋体" w:hint="eastAsia"/>
          <w:b/>
          <w:sz w:val="36"/>
          <w:szCs w:val="36"/>
        </w:rPr>
        <w:t>经济学院同等学力申请硕士学位论文写作信息采集表</w:t>
      </w:r>
    </w:p>
    <w:p w14:paraId="11FD28F0" w14:textId="77777777" w:rsidR="00AB5DD7" w:rsidRPr="00801937" w:rsidRDefault="00AB5DD7" w:rsidP="00AB5DD7">
      <w:pPr>
        <w:jc w:val="center"/>
        <w:rPr>
          <w:rFonts w:ascii="宋体" w:eastAsia="宋体" w:hAnsi="宋体"/>
          <w:b/>
          <w:sz w:val="28"/>
          <w:szCs w:val="2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61"/>
        <w:gridCol w:w="1083"/>
        <w:gridCol w:w="1086"/>
        <w:gridCol w:w="577"/>
        <w:gridCol w:w="841"/>
        <w:gridCol w:w="586"/>
        <w:gridCol w:w="548"/>
        <w:gridCol w:w="992"/>
        <w:gridCol w:w="1270"/>
      </w:tblGrid>
      <w:tr w:rsidR="00AB5DD7" w:rsidRPr="00AB5DD7" w14:paraId="2CE97C69" w14:textId="77777777" w:rsidTr="001D4ABC">
        <w:trPr>
          <w:trHeight w:val="680"/>
          <w:jc w:val="center"/>
        </w:trPr>
        <w:tc>
          <w:tcPr>
            <w:tcW w:w="2361" w:type="dxa"/>
            <w:vAlign w:val="center"/>
          </w:tcPr>
          <w:p w14:paraId="38184B04"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资格卡号</w:t>
            </w:r>
          </w:p>
        </w:tc>
        <w:tc>
          <w:tcPr>
            <w:tcW w:w="2746" w:type="dxa"/>
            <w:gridSpan w:val="3"/>
            <w:vAlign w:val="center"/>
          </w:tcPr>
          <w:p w14:paraId="1702AB67" w14:textId="3B2673ED" w:rsidR="00AB5DD7" w:rsidRPr="00AB5DD7" w:rsidRDefault="00F53BF6" w:rsidP="00F44444">
            <w:pPr>
              <w:rPr>
                <w:rFonts w:ascii="宋体" w:eastAsia="宋体" w:hAnsi="宋体"/>
                <w:sz w:val="24"/>
              </w:rPr>
            </w:pPr>
            <w:r>
              <w:rPr>
                <w:rFonts w:ascii="宋体" w:eastAsia="宋体" w:hAnsi="宋体" w:hint="eastAsia"/>
                <w:sz w:val="24"/>
              </w:rPr>
              <w:t>81040310</w:t>
            </w:r>
          </w:p>
        </w:tc>
        <w:tc>
          <w:tcPr>
            <w:tcW w:w="1427" w:type="dxa"/>
            <w:gridSpan w:val="2"/>
            <w:vAlign w:val="center"/>
          </w:tcPr>
          <w:p w14:paraId="5C7644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姓    名</w:t>
            </w:r>
          </w:p>
        </w:tc>
        <w:tc>
          <w:tcPr>
            <w:tcW w:w="2810" w:type="dxa"/>
            <w:gridSpan w:val="3"/>
            <w:vAlign w:val="center"/>
          </w:tcPr>
          <w:p w14:paraId="403ADAD2" w14:textId="160FBD89" w:rsidR="00AB5DD7" w:rsidRPr="00AB5DD7" w:rsidRDefault="00801937" w:rsidP="00F44444">
            <w:pPr>
              <w:rPr>
                <w:rFonts w:ascii="宋体" w:eastAsia="宋体" w:hAnsi="宋体"/>
                <w:sz w:val="24"/>
              </w:rPr>
            </w:pPr>
            <w:proofErr w:type="gramStart"/>
            <w:r>
              <w:rPr>
                <w:rFonts w:ascii="宋体" w:eastAsia="宋体" w:hAnsi="宋体" w:hint="eastAsia"/>
                <w:sz w:val="24"/>
              </w:rPr>
              <w:t>姜俊阳</w:t>
            </w:r>
            <w:proofErr w:type="gramEnd"/>
          </w:p>
        </w:tc>
      </w:tr>
      <w:tr w:rsidR="00AB5DD7" w:rsidRPr="00AB5DD7" w14:paraId="7CDC9830" w14:textId="77777777" w:rsidTr="001C3791">
        <w:trPr>
          <w:trHeight w:val="680"/>
          <w:jc w:val="center"/>
        </w:trPr>
        <w:tc>
          <w:tcPr>
            <w:tcW w:w="2362" w:type="dxa"/>
            <w:vAlign w:val="center"/>
          </w:tcPr>
          <w:p w14:paraId="1456A4FC"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所在地区</w:t>
            </w:r>
          </w:p>
        </w:tc>
        <w:tc>
          <w:tcPr>
            <w:tcW w:w="2745" w:type="dxa"/>
            <w:gridSpan w:val="3"/>
            <w:vAlign w:val="center"/>
          </w:tcPr>
          <w:p w14:paraId="5B040D0B" w14:textId="092F1856" w:rsidR="00AB5DD7" w:rsidRPr="00AB5DD7" w:rsidRDefault="00801937" w:rsidP="00F44444">
            <w:pPr>
              <w:rPr>
                <w:rFonts w:ascii="宋体" w:eastAsia="宋体" w:hAnsi="宋体"/>
                <w:sz w:val="24"/>
              </w:rPr>
            </w:pPr>
            <w:r>
              <w:rPr>
                <w:rFonts w:ascii="宋体" w:eastAsia="宋体" w:hAnsi="宋体" w:hint="eastAsia"/>
                <w:sz w:val="24"/>
              </w:rPr>
              <w:t>北京</w:t>
            </w:r>
          </w:p>
        </w:tc>
        <w:tc>
          <w:tcPr>
            <w:tcW w:w="1427" w:type="dxa"/>
            <w:gridSpan w:val="2"/>
            <w:vAlign w:val="center"/>
          </w:tcPr>
          <w:p w14:paraId="4575535C" w14:textId="4DE6083B" w:rsidR="00AB5DD7" w:rsidRPr="00AB5DD7" w:rsidRDefault="00AB5DD7" w:rsidP="00AB5DD7">
            <w:pPr>
              <w:jc w:val="center"/>
              <w:rPr>
                <w:rFonts w:ascii="宋体" w:eastAsia="宋体" w:hAnsi="宋体"/>
                <w:sz w:val="24"/>
              </w:rPr>
            </w:pPr>
            <w:proofErr w:type="gramStart"/>
            <w:r w:rsidRPr="00AB5DD7">
              <w:rPr>
                <w:rFonts w:ascii="宋体" w:eastAsia="宋体" w:hAnsi="宋体" w:hint="eastAsia"/>
                <w:sz w:val="24"/>
              </w:rPr>
              <w:t>申硕专业</w:t>
            </w:r>
            <w:proofErr w:type="gramEnd"/>
          </w:p>
        </w:tc>
        <w:tc>
          <w:tcPr>
            <w:tcW w:w="2810" w:type="dxa"/>
            <w:gridSpan w:val="3"/>
            <w:vAlign w:val="center"/>
          </w:tcPr>
          <w:p w14:paraId="410BCDA2" w14:textId="77E940EB" w:rsidR="00AB5DD7" w:rsidRPr="00AB5DD7" w:rsidRDefault="00AB5DD7" w:rsidP="00F44444">
            <w:pPr>
              <w:rPr>
                <w:rFonts w:ascii="宋体" w:eastAsia="宋体" w:hAnsi="宋体"/>
                <w:sz w:val="24"/>
              </w:rPr>
            </w:pPr>
            <w:r w:rsidRPr="00AB5DD7">
              <w:rPr>
                <w:rFonts w:ascii="宋体" w:eastAsia="宋体" w:hAnsi="宋体" w:hint="eastAsia"/>
                <w:sz w:val="24"/>
              </w:rPr>
              <w:t>企业经济学</w:t>
            </w:r>
          </w:p>
        </w:tc>
      </w:tr>
      <w:tr w:rsidR="00AB5DD7" w:rsidRPr="00AB5DD7" w14:paraId="7FA4B012" w14:textId="77777777" w:rsidTr="001C3791">
        <w:trPr>
          <w:trHeight w:val="680"/>
          <w:jc w:val="center"/>
        </w:trPr>
        <w:tc>
          <w:tcPr>
            <w:tcW w:w="2362" w:type="dxa"/>
            <w:vAlign w:val="center"/>
          </w:tcPr>
          <w:p w14:paraId="62086028" w14:textId="15DE3D1E" w:rsidR="00AB5DD7" w:rsidRPr="00AB5DD7" w:rsidRDefault="00AB5DD7" w:rsidP="00AB5DD7">
            <w:pPr>
              <w:jc w:val="center"/>
              <w:rPr>
                <w:rFonts w:ascii="宋体" w:eastAsia="宋体" w:hAnsi="宋体"/>
                <w:sz w:val="24"/>
              </w:rPr>
            </w:pPr>
            <w:r w:rsidRPr="00AB5DD7">
              <w:rPr>
                <w:rFonts w:ascii="宋体" w:eastAsia="宋体" w:hAnsi="宋体" w:hint="eastAsia"/>
                <w:sz w:val="24"/>
              </w:rPr>
              <w:t>联系电话</w:t>
            </w:r>
          </w:p>
        </w:tc>
        <w:tc>
          <w:tcPr>
            <w:tcW w:w="2745" w:type="dxa"/>
            <w:gridSpan w:val="3"/>
            <w:vAlign w:val="center"/>
          </w:tcPr>
          <w:p w14:paraId="765DC541" w14:textId="420CEEFE" w:rsidR="00AB5DD7" w:rsidRPr="00AB5DD7" w:rsidRDefault="00801937" w:rsidP="00AB5DD7">
            <w:pPr>
              <w:rPr>
                <w:rFonts w:ascii="宋体" w:eastAsia="宋体" w:hAnsi="宋体"/>
                <w:sz w:val="24"/>
              </w:rPr>
            </w:pPr>
            <w:r>
              <w:rPr>
                <w:rFonts w:ascii="宋体" w:eastAsia="宋体" w:hAnsi="宋体" w:hint="eastAsia"/>
                <w:sz w:val="24"/>
              </w:rPr>
              <w:t>18511833757</w:t>
            </w:r>
          </w:p>
        </w:tc>
        <w:tc>
          <w:tcPr>
            <w:tcW w:w="1427" w:type="dxa"/>
            <w:gridSpan w:val="2"/>
            <w:vAlign w:val="center"/>
          </w:tcPr>
          <w:p w14:paraId="06654FF2" w14:textId="09DB61F9" w:rsidR="00AB5DD7" w:rsidRPr="00AB5DD7" w:rsidRDefault="00AB5DD7" w:rsidP="00AB5DD7">
            <w:pPr>
              <w:jc w:val="center"/>
              <w:rPr>
                <w:rFonts w:ascii="宋体" w:eastAsia="宋体" w:hAnsi="宋体"/>
                <w:sz w:val="24"/>
              </w:rPr>
            </w:pPr>
            <w:r w:rsidRPr="00AB5DD7">
              <w:rPr>
                <w:rFonts w:ascii="宋体" w:eastAsia="宋体" w:hAnsi="宋体" w:hint="eastAsia"/>
                <w:sz w:val="24"/>
              </w:rPr>
              <w:t>电子邮箱</w:t>
            </w:r>
          </w:p>
        </w:tc>
        <w:tc>
          <w:tcPr>
            <w:tcW w:w="2810" w:type="dxa"/>
            <w:gridSpan w:val="3"/>
            <w:vAlign w:val="center"/>
          </w:tcPr>
          <w:p w14:paraId="77B897CE" w14:textId="55DC2E13" w:rsidR="00AB5DD7" w:rsidRPr="00AB5DD7" w:rsidRDefault="00801937" w:rsidP="00AB5DD7">
            <w:pPr>
              <w:rPr>
                <w:rFonts w:ascii="宋体" w:eastAsia="宋体" w:hAnsi="宋体"/>
                <w:sz w:val="24"/>
              </w:rPr>
            </w:pPr>
            <w:r>
              <w:rPr>
                <w:rFonts w:ascii="宋体" w:eastAsia="宋体" w:hAnsi="宋体"/>
                <w:sz w:val="24"/>
              </w:rPr>
              <w:t>j</w:t>
            </w:r>
            <w:r>
              <w:rPr>
                <w:rFonts w:ascii="宋体" w:eastAsia="宋体" w:hAnsi="宋体" w:hint="eastAsia"/>
                <w:sz w:val="24"/>
              </w:rPr>
              <w:t>iangjunyang</w:t>
            </w:r>
            <w:r>
              <w:rPr>
                <w:rFonts w:ascii="宋体" w:eastAsia="宋体" w:hAnsi="宋体"/>
                <w:sz w:val="24"/>
              </w:rPr>
              <w:t>313@163.com</w:t>
            </w:r>
          </w:p>
        </w:tc>
      </w:tr>
      <w:tr w:rsidR="00AB5DD7" w:rsidRPr="00AB5DD7" w14:paraId="72DFC7BD" w14:textId="77777777" w:rsidTr="001C3791">
        <w:trPr>
          <w:trHeight w:val="680"/>
          <w:jc w:val="center"/>
        </w:trPr>
        <w:tc>
          <w:tcPr>
            <w:tcW w:w="2362" w:type="dxa"/>
            <w:vAlign w:val="center"/>
          </w:tcPr>
          <w:p w14:paraId="5FFB2EAF" w14:textId="404A382B" w:rsidR="00AB5DD7" w:rsidRPr="00AB5DD7" w:rsidRDefault="00AB5DD7" w:rsidP="00AB5DD7">
            <w:pPr>
              <w:jc w:val="center"/>
              <w:rPr>
                <w:rFonts w:ascii="宋体" w:eastAsia="宋体" w:hAnsi="宋体"/>
                <w:sz w:val="24"/>
              </w:rPr>
            </w:pPr>
            <w:r w:rsidRPr="00AB5DD7">
              <w:rPr>
                <w:rFonts w:ascii="宋体" w:eastAsia="宋体" w:hAnsi="宋体" w:hint="eastAsia"/>
                <w:sz w:val="24"/>
              </w:rPr>
              <w:t>本科毕业院校</w:t>
            </w:r>
          </w:p>
        </w:tc>
        <w:tc>
          <w:tcPr>
            <w:tcW w:w="2745" w:type="dxa"/>
            <w:gridSpan w:val="3"/>
            <w:vAlign w:val="center"/>
          </w:tcPr>
          <w:p w14:paraId="423AEBCE" w14:textId="17F225FC" w:rsidR="00AB5DD7" w:rsidRPr="00AB5DD7" w:rsidRDefault="00801937" w:rsidP="00AB5DD7">
            <w:pPr>
              <w:rPr>
                <w:rFonts w:ascii="宋体" w:eastAsia="宋体" w:hAnsi="宋体"/>
                <w:sz w:val="24"/>
              </w:rPr>
            </w:pPr>
            <w:r>
              <w:rPr>
                <w:rFonts w:ascii="宋体" w:eastAsia="宋体" w:hAnsi="宋体" w:hint="eastAsia"/>
                <w:sz w:val="24"/>
              </w:rPr>
              <w:t>北京联合大学</w:t>
            </w:r>
          </w:p>
        </w:tc>
        <w:tc>
          <w:tcPr>
            <w:tcW w:w="1427" w:type="dxa"/>
            <w:gridSpan w:val="2"/>
            <w:vAlign w:val="center"/>
          </w:tcPr>
          <w:p w14:paraId="69751DD1" w14:textId="7A5991A0" w:rsidR="00AB5DD7" w:rsidRPr="00AB5DD7" w:rsidRDefault="00AB5DD7" w:rsidP="00AB5DD7">
            <w:pPr>
              <w:jc w:val="center"/>
              <w:rPr>
                <w:rFonts w:ascii="宋体" w:eastAsia="宋体" w:hAnsi="宋体"/>
                <w:sz w:val="24"/>
              </w:rPr>
            </w:pPr>
            <w:r w:rsidRPr="00AB5DD7">
              <w:rPr>
                <w:rFonts w:ascii="宋体" w:eastAsia="宋体" w:hAnsi="宋体" w:hint="eastAsia"/>
                <w:sz w:val="24"/>
              </w:rPr>
              <w:t>本科专业</w:t>
            </w:r>
          </w:p>
        </w:tc>
        <w:tc>
          <w:tcPr>
            <w:tcW w:w="2810" w:type="dxa"/>
            <w:gridSpan w:val="3"/>
            <w:vAlign w:val="center"/>
          </w:tcPr>
          <w:p w14:paraId="4D05CEEA" w14:textId="2F24397A" w:rsidR="00AB5DD7" w:rsidRPr="00AB5DD7" w:rsidRDefault="00801937" w:rsidP="00AB5DD7">
            <w:pPr>
              <w:rPr>
                <w:rFonts w:ascii="宋体" w:eastAsia="宋体" w:hAnsi="宋体"/>
                <w:sz w:val="24"/>
              </w:rPr>
            </w:pPr>
            <w:r>
              <w:rPr>
                <w:rFonts w:ascii="宋体" w:eastAsia="宋体" w:hAnsi="宋体" w:hint="eastAsia"/>
                <w:sz w:val="24"/>
              </w:rPr>
              <w:t>工商管理</w:t>
            </w:r>
          </w:p>
        </w:tc>
      </w:tr>
      <w:tr w:rsidR="00AB5DD7" w:rsidRPr="00AB5DD7" w14:paraId="6ED5862D" w14:textId="5AB179E1" w:rsidTr="001C3791">
        <w:trPr>
          <w:trHeight w:val="680"/>
          <w:jc w:val="center"/>
        </w:trPr>
        <w:tc>
          <w:tcPr>
            <w:tcW w:w="2362" w:type="dxa"/>
            <w:vAlign w:val="center"/>
          </w:tcPr>
          <w:p w14:paraId="50DFFF9A" w14:textId="4C859935" w:rsidR="00AB5DD7" w:rsidRPr="00AB5DD7" w:rsidRDefault="00AB5DD7" w:rsidP="00AB5DD7">
            <w:pPr>
              <w:jc w:val="center"/>
              <w:rPr>
                <w:rFonts w:ascii="宋体" w:eastAsia="宋体" w:hAnsi="宋体"/>
                <w:sz w:val="24"/>
              </w:rPr>
            </w:pPr>
            <w:r w:rsidRPr="00AB5DD7">
              <w:rPr>
                <w:rFonts w:ascii="宋体" w:eastAsia="宋体" w:hAnsi="宋体" w:hint="eastAsia"/>
                <w:sz w:val="24"/>
              </w:rPr>
              <w:t>工作单位</w:t>
            </w:r>
          </w:p>
        </w:tc>
        <w:tc>
          <w:tcPr>
            <w:tcW w:w="2745" w:type="dxa"/>
            <w:gridSpan w:val="3"/>
            <w:vAlign w:val="center"/>
          </w:tcPr>
          <w:p w14:paraId="3C5DA025" w14:textId="6A0D401C" w:rsidR="00AB5DD7" w:rsidRPr="00AB5DD7" w:rsidRDefault="00801937" w:rsidP="00AB5DD7">
            <w:pPr>
              <w:rPr>
                <w:rFonts w:ascii="宋体" w:eastAsia="宋体" w:hAnsi="宋体"/>
                <w:sz w:val="24"/>
              </w:rPr>
            </w:pPr>
            <w:r>
              <w:rPr>
                <w:rFonts w:ascii="宋体" w:eastAsia="宋体" w:hAnsi="宋体" w:hint="eastAsia"/>
                <w:sz w:val="24"/>
              </w:rPr>
              <w:t>鹏博士集团</w:t>
            </w:r>
          </w:p>
        </w:tc>
        <w:tc>
          <w:tcPr>
            <w:tcW w:w="1427" w:type="dxa"/>
            <w:gridSpan w:val="2"/>
            <w:vAlign w:val="center"/>
          </w:tcPr>
          <w:p w14:paraId="44F82741" w14:textId="3DEA6DD2" w:rsidR="00AB5DD7" w:rsidRPr="00AB5DD7" w:rsidRDefault="00AB5DD7" w:rsidP="00AB5DD7">
            <w:pPr>
              <w:jc w:val="center"/>
              <w:rPr>
                <w:rFonts w:ascii="宋体" w:eastAsia="宋体" w:hAnsi="宋体"/>
                <w:sz w:val="24"/>
              </w:rPr>
            </w:pPr>
            <w:r w:rsidRPr="00AB5DD7">
              <w:rPr>
                <w:rFonts w:ascii="宋体" w:eastAsia="宋体" w:hAnsi="宋体" w:hint="eastAsia"/>
                <w:sz w:val="24"/>
              </w:rPr>
              <w:t xml:space="preserve">职 </w:t>
            </w:r>
            <w:r w:rsidRPr="00AB5DD7">
              <w:rPr>
                <w:rFonts w:ascii="宋体" w:eastAsia="宋体" w:hAnsi="宋体"/>
                <w:sz w:val="24"/>
              </w:rPr>
              <w:t xml:space="preserve"> </w:t>
            </w:r>
            <w:proofErr w:type="gramStart"/>
            <w:r w:rsidRPr="00AB5DD7">
              <w:rPr>
                <w:rFonts w:ascii="宋体" w:eastAsia="宋体" w:hAnsi="宋体" w:hint="eastAsia"/>
                <w:sz w:val="24"/>
              </w:rPr>
              <w:t>务</w:t>
            </w:r>
            <w:proofErr w:type="gramEnd"/>
          </w:p>
        </w:tc>
        <w:tc>
          <w:tcPr>
            <w:tcW w:w="2810" w:type="dxa"/>
            <w:gridSpan w:val="3"/>
            <w:vAlign w:val="center"/>
          </w:tcPr>
          <w:p w14:paraId="659D926A" w14:textId="02DADBE5" w:rsidR="00AB5DD7" w:rsidRPr="00AB5DD7" w:rsidRDefault="00801937" w:rsidP="00AB5DD7">
            <w:pPr>
              <w:rPr>
                <w:rFonts w:ascii="宋体" w:eastAsia="宋体" w:hAnsi="宋体"/>
                <w:sz w:val="24"/>
              </w:rPr>
            </w:pPr>
            <w:r>
              <w:rPr>
                <w:rFonts w:ascii="宋体" w:eastAsia="宋体" w:hAnsi="宋体" w:hint="eastAsia"/>
                <w:sz w:val="24"/>
              </w:rPr>
              <w:t>公关企划</w:t>
            </w:r>
          </w:p>
        </w:tc>
      </w:tr>
      <w:tr w:rsidR="00AB5DD7" w:rsidRPr="00AB5DD7" w14:paraId="326A982F" w14:textId="5ABB873D" w:rsidTr="0060083B">
        <w:trPr>
          <w:trHeight w:val="2942"/>
          <w:jc w:val="center"/>
        </w:trPr>
        <w:tc>
          <w:tcPr>
            <w:tcW w:w="2362" w:type="dxa"/>
            <w:vAlign w:val="center"/>
          </w:tcPr>
          <w:p w14:paraId="37DB7F92" w14:textId="77777777" w:rsidR="009D0666" w:rsidRDefault="009D0666" w:rsidP="00AB5DD7">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10896B48" w14:textId="0B7F909D" w:rsidR="00AB5DD7" w:rsidRPr="00AB5DD7" w:rsidRDefault="00AB5DD7" w:rsidP="00AB5DD7">
            <w:pPr>
              <w:jc w:val="center"/>
              <w:rPr>
                <w:rFonts w:ascii="宋体" w:eastAsia="宋体" w:hAnsi="宋体"/>
                <w:sz w:val="24"/>
              </w:rPr>
            </w:pPr>
            <w:r w:rsidRPr="00AB5DD7">
              <w:rPr>
                <w:rFonts w:ascii="宋体" w:eastAsia="宋体" w:hAnsi="宋体" w:hint="eastAsia"/>
                <w:sz w:val="24"/>
              </w:rPr>
              <w:t>工作经历</w:t>
            </w:r>
          </w:p>
        </w:tc>
        <w:tc>
          <w:tcPr>
            <w:tcW w:w="6982" w:type="dxa"/>
            <w:gridSpan w:val="8"/>
            <w:vAlign w:val="center"/>
          </w:tcPr>
          <w:p w14:paraId="6740051A" w14:textId="19BCAB56" w:rsidR="00D02499" w:rsidRPr="00AB5DD7" w:rsidRDefault="00D02499" w:rsidP="0060083B">
            <w:pPr>
              <w:spacing w:line="276" w:lineRule="auto"/>
              <w:rPr>
                <w:rFonts w:ascii="宋体" w:eastAsia="宋体" w:hAnsi="宋体"/>
                <w:sz w:val="24"/>
              </w:rPr>
            </w:pPr>
            <w:r>
              <w:rPr>
                <w:rFonts w:ascii="宋体" w:eastAsia="宋体" w:hAnsi="宋体" w:hint="eastAsia"/>
                <w:sz w:val="24"/>
              </w:rPr>
              <w:t>2015年本科毕业，一直从事企业宣传相关工作。目前在职的公司鹏博士集团在1994年上交所挂牌上市，是一家老牌的通信公司，主营业务有宽带、数据中心等。近两年正处在战略转型期，做宣传工作时感受到公司转型难，融资难，特别是在疫情期间，风险的不确定性加剧，因而拟定企业战略，风险承担</w:t>
            </w:r>
            <w:r w:rsidR="0060083B">
              <w:rPr>
                <w:rFonts w:ascii="宋体" w:eastAsia="宋体" w:hAnsi="宋体" w:hint="eastAsia"/>
                <w:sz w:val="24"/>
              </w:rPr>
              <w:t>对于融资约束的影响路径。</w:t>
            </w:r>
          </w:p>
        </w:tc>
      </w:tr>
      <w:tr w:rsidR="00AB5DD7" w:rsidRPr="00AB5DD7" w14:paraId="05BD71A1" w14:textId="77777777" w:rsidTr="001C3791">
        <w:trPr>
          <w:trHeight w:val="680"/>
          <w:jc w:val="center"/>
        </w:trPr>
        <w:tc>
          <w:tcPr>
            <w:tcW w:w="2362" w:type="dxa"/>
            <w:vAlign w:val="center"/>
          </w:tcPr>
          <w:p w14:paraId="6F0D23AD"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科研成果</w:t>
            </w:r>
          </w:p>
        </w:tc>
        <w:tc>
          <w:tcPr>
            <w:tcW w:w="1083" w:type="dxa"/>
            <w:vAlign w:val="center"/>
          </w:tcPr>
          <w:p w14:paraId="1D5C80F2"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661E8733" w14:textId="07387E93" w:rsidR="00AB5DD7" w:rsidRPr="00AB5DD7" w:rsidRDefault="00AB5DD7" w:rsidP="001C3791">
            <w:pPr>
              <w:jc w:val="center"/>
              <w:rPr>
                <w:rFonts w:ascii="宋体" w:eastAsia="宋体" w:hAnsi="宋体"/>
                <w:sz w:val="24"/>
              </w:rPr>
            </w:pPr>
            <w:r w:rsidRPr="00AB5DD7">
              <w:rPr>
                <w:rFonts w:ascii="宋体" w:eastAsia="宋体" w:hAnsi="宋体" w:hint="eastAsia"/>
                <w:sz w:val="24"/>
              </w:rPr>
              <w:t>发表</w:t>
            </w:r>
          </w:p>
        </w:tc>
        <w:tc>
          <w:tcPr>
            <w:tcW w:w="1086" w:type="dxa"/>
            <w:vAlign w:val="center"/>
          </w:tcPr>
          <w:p w14:paraId="3C35AA56" w14:textId="213295C4"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1418" w:type="dxa"/>
            <w:gridSpan w:val="2"/>
            <w:vAlign w:val="center"/>
          </w:tcPr>
          <w:p w14:paraId="1BF87733" w14:textId="77777777" w:rsidR="00AB5DD7" w:rsidRDefault="00AB5DD7" w:rsidP="001C3791">
            <w:pPr>
              <w:jc w:val="center"/>
              <w:rPr>
                <w:rFonts w:ascii="宋体" w:eastAsia="宋体" w:hAnsi="宋体"/>
                <w:sz w:val="24"/>
              </w:rPr>
            </w:pPr>
            <w:r w:rsidRPr="00AB5DD7">
              <w:rPr>
                <w:rFonts w:ascii="宋体" w:eastAsia="宋体" w:hAnsi="宋体" w:hint="eastAsia"/>
                <w:sz w:val="24"/>
              </w:rPr>
              <w:t>是否</w:t>
            </w:r>
          </w:p>
          <w:p w14:paraId="71D473EA" w14:textId="00CB8D4D" w:rsidR="00AB5DD7" w:rsidRPr="00AB5DD7" w:rsidRDefault="00AB5DD7" w:rsidP="001C3791">
            <w:pPr>
              <w:jc w:val="center"/>
              <w:rPr>
                <w:rFonts w:ascii="宋体" w:eastAsia="宋体" w:hAnsi="宋体"/>
                <w:sz w:val="24"/>
              </w:rPr>
            </w:pPr>
            <w:r w:rsidRPr="00AB5DD7">
              <w:rPr>
                <w:rFonts w:ascii="宋体" w:eastAsia="宋体" w:hAnsi="宋体" w:hint="eastAsia"/>
                <w:sz w:val="24"/>
              </w:rPr>
              <w:t>第一作者</w:t>
            </w:r>
          </w:p>
        </w:tc>
        <w:tc>
          <w:tcPr>
            <w:tcW w:w="1134" w:type="dxa"/>
            <w:gridSpan w:val="2"/>
            <w:vAlign w:val="center"/>
          </w:tcPr>
          <w:p w14:paraId="7E6FCD91" w14:textId="2CA8552D" w:rsidR="00AB5DD7" w:rsidRPr="00AB5DD7" w:rsidRDefault="00A32456" w:rsidP="001C3791">
            <w:pPr>
              <w:jc w:val="center"/>
              <w:rPr>
                <w:rFonts w:ascii="宋体" w:eastAsia="宋体" w:hAnsi="宋体"/>
                <w:sz w:val="24"/>
              </w:rPr>
            </w:pPr>
            <w:r>
              <w:rPr>
                <w:rFonts w:ascii="宋体" w:eastAsia="宋体" w:hAnsi="宋体" w:hint="eastAsia"/>
                <w:sz w:val="24"/>
              </w:rPr>
              <w:t>填：是</w:t>
            </w:r>
          </w:p>
        </w:tc>
        <w:tc>
          <w:tcPr>
            <w:tcW w:w="992" w:type="dxa"/>
            <w:vAlign w:val="center"/>
          </w:tcPr>
          <w:p w14:paraId="28E9A294" w14:textId="77777777" w:rsidR="00AB5DD7" w:rsidRDefault="00AB5DD7" w:rsidP="001C3791">
            <w:pPr>
              <w:jc w:val="center"/>
              <w:rPr>
                <w:rFonts w:ascii="宋体" w:eastAsia="宋体" w:hAnsi="宋体"/>
                <w:sz w:val="24"/>
              </w:rPr>
            </w:pPr>
            <w:r w:rsidRPr="00AB5DD7">
              <w:rPr>
                <w:rFonts w:ascii="宋体" w:eastAsia="宋体" w:hAnsi="宋体" w:hint="eastAsia"/>
                <w:sz w:val="24"/>
              </w:rPr>
              <w:t>发表</w:t>
            </w:r>
          </w:p>
          <w:p w14:paraId="222E33BB" w14:textId="2601AA29" w:rsidR="00AB5DD7" w:rsidRPr="00AB5DD7" w:rsidRDefault="00AB5DD7" w:rsidP="001C3791">
            <w:pPr>
              <w:jc w:val="center"/>
              <w:rPr>
                <w:rFonts w:ascii="宋体" w:eastAsia="宋体" w:hAnsi="宋体"/>
                <w:sz w:val="24"/>
              </w:rPr>
            </w:pPr>
            <w:r w:rsidRPr="00AB5DD7">
              <w:rPr>
                <w:rFonts w:ascii="宋体" w:eastAsia="宋体" w:hAnsi="宋体" w:hint="eastAsia"/>
                <w:sz w:val="24"/>
              </w:rPr>
              <w:t>字数</w:t>
            </w:r>
          </w:p>
        </w:tc>
        <w:tc>
          <w:tcPr>
            <w:tcW w:w="1269" w:type="dxa"/>
            <w:vAlign w:val="center"/>
          </w:tcPr>
          <w:p w14:paraId="618350BE" w14:textId="55015E2D" w:rsidR="00AB5DD7" w:rsidRPr="00AB5DD7" w:rsidRDefault="00D02499" w:rsidP="00AB5DD7">
            <w:pPr>
              <w:jc w:val="center"/>
              <w:rPr>
                <w:rFonts w:ascii="宋体" w:eastAsia="宋体" w:hAnsi="宋体"/>
                <w:sz w:val="24"/>
              </w:rPr>
            </w:pPr>
            <w:r>
              <w:rPr>
                <w:rFonts w:ascii="宋体" w:eastAsia="宋体" w:hAnsi="宋体" w:hint="eastAsia"/>
                <w:sz w:val="24"/>
              </w:rPr>
              <w:t>5439</w:t>
            </w:r>
          </w:p>
        </w:tc>
      </w:tr>
      <w:tr w:rsidR="00AB5DD7" w:rsidRPr="00AB5DD7" w14:paraId="49FD89DC" w14:textId="77777777" w:rsidTr="001C3791">
        <w:trPr>
          <w:trHeight w:val="680"/>
          <w:jc w:val="center"/>
        </w:trPr>
        <w:tc>
          <w:tcPr>
            <w:tcW w:w="2362" w:type="dxa"/>
            <w:vAlign w:val="center"/>
          </w:tcPr>
          <w:p w14:paraId="4FBCD07B"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发表文章题目</w:t>
            </w:r>
          </w:p>
        </w:tc>
        <w:tc>
          <w:tcPr>
            <w:tcW w:w="6982" w:type="dxa"/>
            <w:gridSpan w:val="8"/>
            <w:vAlign w:val="center"/>
          </w:tcPr>
          <w:p w14:paraId="1996D1DB" w14:textId="4BA476FC" w:rsidR="00AB5DD7" w:rsidRPr="00AB5DD7" w:rsidRDefault="00962092" w:rsidP="00AB5DD7">
            <w:pPr>
              <w:rPr>
                <w:rFonts w:ascii="宋体" w:eastAsia="宋体" w:hAnsi="宋体"/>
                <w:sz w:val="24"/>
              </w:rPr>
            </w:pPr>
            <w:r w:rsidRPr="00962092">
              <w:rPr>
                <w:rFonts w:ascii="宋体" w:eastAsia="宋体" w:hAnsi="宋体" w:hint="eastAsia"/>
                <w:sz w:val="24"/>
              </w:rPr>
              <w:t>中国第三方数据中心</w:t>
            </w:r>
            <w:r w:rsidRPr="00962092">
              <w:rPr>
                <w:rFonts w:ascii="宋体" w:eastAsia="宋体" w:hAnsi="宋体"/>
                <w:sz w:val="24"/>
              </w:rPr>
              <w:t>(IDC)产业发展探析</w:t>
            </w:r>
          </w:p>
        </w:tc>
      </w:tr>
      <w:tr w:rsidR="00AB5DD7" w:rsidRPr="00AB5DD7" w14:paraId="4B6E1E41" w14:textId="77777777" w:rsidTr="001C3791">
        <w:trPr>
          <w:trHeight w:val="680"/>
          <w:jc w:val="center"/>
        </w:trPr>
        <w:tc>
          <w:tcPr>
            <w:tcW w:w="2362" w:type="dxa"/>
            <w:vAlign w:val="center"/>
          </w:tcPr>
          <w:p w14:paraId="1E9EABD1" w14:textId="77777777" w:rsidR="00AB5DD7" w:rsidRPr="00AB5DD7" w:rsidRDefault="00AB5DD7" w:rsidP="00AB5DD7">
            <w:pPr>
              <w:jc w:val="center"/>
              <w:rPr>
                <w:rFonts w:ascii="宋体" w:eastAsia="宋体" w:hAnsi="宋体"/>
                <w:sz w:val="24"/>
              </w:rPr>
            </w:pPr>
            <w:r w:rsidRPr="00AB5DD7">
              <w:rPr>
                <w:rFonts w:ascii="宋体" w:eastAsia="宋体" w:hAnsi="宋体" w:hint="eastAsia"/>
                <w:sz w:val="24"/>
              </w:rPr>
              <w:t>发表文章刊物</w:t>
            </w:r>
          </w:p>
        </w:tc>
        <w:tc>
          <w:tcPr>
            <w:tcW w:w="6982" w:type="dxa"/>
            <w:gridSpan w:val="8"/>
            <w:vAlign w:val="center"/>
          </w:tcPr>
          <w:p w14:paraId="4832442C" w14:textId="5DDC2235" w:rsidR="00AB5DD7" w:rsidRPr="00AB5DD7" w:rsidRDefault="00962092" w:rsidP="00AB5DD7">
            <w:pPr>
              <w:rPr>
                <w:rFonts w:ascii="宋体" w:eastAsia="宋体" w:hAnsi="宋体"/>
                <w:sz w:val="24"/>
              </w:rPr>
            </w:pPr>
            <w:r w:rsidRPr="00962092">
              <w:rPr>
                <w:rFonts w:ascii="宋体" w:eastAsia="宋体" w:hAnsi="宋体" w:hint="eastAsia"/>
                <w:sz w:val="24"/>
              </w:rPr>
              <w:t>经济与社会发展研究</w:t>
            </w:r>
            <w:r>
              <w:rPr>
                <w:rFonts w:ascii="宋体" w:eastAsia="宋体" w:hAnsi="宋体" w:hint="eastAsia"/>
                <w:sz w:val="24"/>
              </w:rPr>
              <w:t>，</w:t>
            </w:r>
            <w:r w:rsidRPr="00962092">
              <w:rPr>
                <w:rFonts w:ascii="宋体" w:eastAsia="宋体" w:hAnsi="宋体"/>
                <w:sz w:val="24"/>
              </w:rPr>
              <w:t>CN14-1367/C、ISSN2095-2570</w:t>
            </w:r>
          </w:p>
        </w:tc>
      </w:tr>
      <w:tr w:rsidR="001D4ABC" w:rsidRPr="00AB5DD7" w14:paraId="7128894E" w14:textId="77777777" w:rsidTr="001D4ABC">
        <w:trPr>
          <w:trHeight w:val="3156"/>
          <w:jc w:val="center"/>
        </w:trPr>
        <w:tc>
          <w:tcPr>
            <w:tcW w:w="2362" w:type="dxa"/>
            <w:vAlign w:val="center"/>
          </w:tcPr>
          <w:p w14:paraId="60CB9906" w14:textId="5DD43682" w:rsidR="001D4ABC" w:rsidRPr="00AB5DD7" w:rsidRDefault="001D4ABC" w:rsidP="00AB5DD7">
            <w:pPr>
              <w:jc w:val="center"/>
              <w:rPr>
                <w:rFonts w:ascii="宋体" w:eastAsia="宋体" w:hAnsi="宋体"/>
                <w:sz w:val="24"/>
              </w:rPr>
            </w:pPr>
            <w:r>
              <w:rPr>
                <w:rFonts w:ascii="宋体" w:eastAsia="宋体" w:hAnsi="宋体" w:hint="eastAsia"/>
                <w:sz w:val="24"/>
              </w:rPr>
              <w:t>发表文章内容简介</w:t>
            </w:r>
          </w:p>
        </w:tc>
        <w:tc>
          <w:tcPr>
            <w:tcW w:w="6982" w:type="dxa"/>
            <w:gridSpan w:val="8"/>
            <w:vAlign w:val="center"/>
          </w:tcPr>
          <w:p w14:paraId="7DBA5A56" w14:textId="53B4A4CC" w:rsidR="001D4ABC" w:rsidRDefault="00962092" w:rsidP="0060083B">
            <w:pPr>
              <w:spacing w:line="276" w:lineRule="auto"/>
              <w:rPr>
                <w:rFonts w:ascii="宋体" w:eastAsia="宋体" w:hAnsi="宋体"/>
                <w:sz w:val="24"/>
              </w:rPr>
            </w:pPr>
            <w:r>
              <w:rPr>
                <w:rFonts w:ascii="宋体" w:eastAsia="宋体" w:hAnsi="宋体" w:hint="eastAsia"/>
                <w:bCs/>
                <w:sz w:val="24"/>
                <w:szCs w:val="24"/>
              </w:rPr>
              <w:t>近年来，随着3G、4G移动通信及移动APP的发展，对数据存储的需求加大，数据中心迎来爆发式增长。同时，5G时代的到来，更激增了数据中心的需求，三大运营商逐渐退出数据中心产业，第三方数据中心也即将面临供不应求的现状。本文主要介绍通过数据挖掘国内外数据中心需求现状，进而阐述第三方数据中心厂商在面对激增需求的解决方案及未来第三方数据中心的机会和挑战。</w:t>
            </w:r>
          </w:p>
        </w:tc>
      </w:tr>
    </w:tbl>
    <w:p w14:paraId="622C2541" w14:textId="3B207FB5" w:rsidR="0060083B" w:rsidRDefault="0060083B"/>
    <w:p w14:paraId="01CD46C4" w14:textId="0F98C1EB" w:rsidR="001D4ABC" w:rsidRDefault="0060083B" w:rsidP="0060083B">
      <w:pPr>
        <w:widowControl/>
        <w:jc w:val="left"/>
      </w:pPr>
      <w:r>
        <w:br w:type="page"/>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9016AB" w14:paraId="21C5769B" w14:textId="77777777" w:rsidTr="005525FA">
        <w:trPr>
          <w:trHeight w:val="680"/>
          <w:jc w:val="center"/>
        </w:trPr>
        <w:tc>
          <w:tcPr>
            <w:tcW w:w="2362" w:type="dxa"/>
            <w:vAlign w:val="center"/>
          </w:tcPr>
          <w:p w14:paraId="4170051A" w14:textId="77777777" w:rsidR="009016AB" w:rsidRDefault="009016AB" w:rsidP="005525FA">
            <w:pPr>
              <w:jc w:val="center"/>
              <w:rPr>
                <w:rFonts w:ascii="宋体" w:eastAsia="宋体" w:hAnsi="宋体"/>
                <w:sz w:val="24"/>
              </w:rPr>
            </w:pPr>
            <w:r>
              <w:rPr>
                <w:rFonts w:ascii="宋体" w:eastAsia="宋体" w:hAnsi="宋体" w:hint="eastAsia"/>
                <w:sz w:val="24"/>
              </w:rPr>
              <w:lastRenderedPageBreak/>
              <w:t>拟定学位论文</w:t>
            </w:r>
          </w:p>
          <w:p w14:paraId="01807C22" w14:textId="77777777" w:rsidR="009016AB" w:rsidRDefault="009016AB" w:rsidP="005525FA">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3926D4FB" w14:textId="5344C8AB" w:rsidR="009016AB" w:rsidRDefault="00004E1B" w:rsidP="00BA1D01">
            <w:pPr>
              <w:spacing w:line="400" w:lineRule="exact"/>
              <w:rPr>
                <w:rFonts w:ascii="宋体" w:eastAsia="宋体" w:hAnsi="宋体"/>
                <w:sz w:val="24"/>
              </w:rPr>
            </w:pPr>
            <w:r w:rsidRPr="00004E1B">
              <w:rPr>
                <w:rFonts w:ascii="宋体" w:eastAsia="宋体" w:hAnsi="宋体" w:cs="宋体" w:hint="eastAsia"/>
                <w:color w:val="000000"/>
                <w:sz w:val="24"/>
                <w:szCs w:val="24"/>
                <w:lang w:val="zh-CN" w:bidi="zh-CN"/>
              </w:rPr>
              <w:t>本文首先以盈余管理为切入点，深化作用路径，丰富了企业战略差异与盈余管理领域的相关理论体系，为以后的研究提供新的方向，也为企业制定战略提供了一定的参考。</w:t>
            </w:r>
            <w:r>
              <w:rPr>
                <w:rFonts w:ascii="宋体" w:eastAsia="宋体" w:hAnsi="宋体" w:cs="宋体" w:hint="eastAsia"/>
                <w:color w:val="000000"/>
                <w:sz w:val="24"/>
                <w:szCs w:val="24"/>
                <w:lang w:val="zh-CN" w:bidi="zh-CN"/>
              </w:rPr>
              <w:t>其次，</w:t>
            </w:r>
            <w:r w:rsidRPr="00004E1B">
              <w:rPr>
                <w:rFonts w:ascii="宋体" w:eastAsia="宋体" w:hAnsi="宋体" w:cs="宋体" w:hint="eastAsia"/>
                <w:color w:val="000000"/>
                <w:sz w:val="24"/>
                <w:szCs w:val="24"/>
                <w:lang w:val="zh-CN" w:bidi="zh-CN"/>
              </w:rPr>
              <w:t>本文仔细梳理了委托代理理论和信息不对称理论在战略差异与盈余管理之间的作用机制，为委托人与代理人之间的契约建立带来了一种新的思考角度</w:t>
            </w:r>
            <w:r w:rsidR="00BA1D01">
              <w:rPr>
                <w:rFonts w:ascii="宋体" w:eastAsia="宋体" w:hAnsi="宋体" w:cs="宋体" w:hint="eastAsia"/>
                <w:color w:val="000000"/>
                <w:sz w:val="24"/>
                <w:szCs w:val="24"/>
                <w:lang w:val="zh-CN" w:bidi="zh-CN"/>
              </w:rPr>
              <w:t>。</w:t>
            </w:r>
          </w:p>
        </w:tc>
      </w:tr>
      <w:tr w:rsidR="00004E1B" w14:paraId="4BE41C11" w14:textId="77777777" w:rsidTr="005525FA">
        <w:trPr>
          <w:trHeight w:val="2560"/>
          <w:jc w:val="center"/>
        </w:trPr>
        <w:tc>
          <w:tcPr>
            <w:tcW w:w="2362" w:type="dxa"/>
            <w:vAlign w:val="center"/>
          </w:tcPr>
          <w:p w14:paraId="2F63D9F2" w14:textId="77777777" w:rsidR="00004E1B" w:rsidRDefault="00004E1B" w:rsidP="00004E1B">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50EA4549" w14:textId="16201DC0" w:rsidR="00004E1B" w:rsidRP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004E1B">
              <w:rPr>
                <w:rFonts w:ascii="宋体" w:eastAsia="宋体" w:hAnsi="宋体" w:cs="宋体" w:hint="eastAsia"/>
                <w:color w:val="000000"/>
                <w:sz w:val="24"/>
                <w:szCs w:val="24"/>
              </w:rPr>
              <w:t>过去二十多年中，伴随着中外资本市场的建设与发展，上市公司向社会投资者们募集了大量资金，企业高层管理者作为第一手管控人员，将这些资源进行分配及安置，扩大企业生产力，为社会创造财富。然而近年来，国内外市场中渐渐浮现出了财务信用危机，一些高管企图通过财务报表操纵、关联交易以及经营活动控制来掩盖真实的企业经营状况；在一次次的财务粉饰活动中，部分企业最终难以</w:t>
            </w:r>
            <w:r w:rsidRPr="00004E1B">
              <w:rPr>
                <w:rFonts w:ascii="宋体" w:eastAsia="宋体" w:hAnsi="宋体" w:cs="宋体"/>
                <w:color w:val="000000"/>
                <w:sz w:val="24"/>
                <w:szCs w:val="24"/>
              </w:rPr>
              <w:t>“</w:t>
            </w:r>
            <w:r w:rsidRPr="00004E1B">
              <w:rPr>
                <w:rFonts w:ascii="宋体" w:eastAsia="宋体" w:hAnsi="宋体" w:cs="宋体" w:hint="eastAsia"/>
                <w:color w:val="000000"/>
                <w:sz w:val="24"/>
                <w:szCs w:val="24"/>
              </w:rPr>
              <w:t>自圆其账</w:t>
            </w:r>
            <w:r w:rsidRPr="00004E1B">
              <w:rPr>
                <w:rFonts w:ascii="宋体" w:eastAsia="宋体" w:hAnsi="宋体" w:cs="宋体"/>
                <w:color w:val="000000"/>
                <w:sz w:val="24"/>
                <w:szCs w:val="24"/>
              </w:rPr>
              <w:t>”</w:t>
            </w:r>
            <w:r w:rsidRPr="00004E1B">
              <w:rPr>
                <w:rFonts w:ascii="宋体" w:eastAsia="宋体" w:hAnsi="宋体" w:cs="宋体" w:hint="eastAsia"/>
                <w:color w:val="000000"/>
                <w:sz w:val="24"/>
                <w:szCs w:val="24"/>
              </w:rPr>
              <w:t>，走上了资不抵债、破产重组的道路，如乐视网</w:t>
            </w:r>
            <w:r w:rsidRPr="00004E1B">
              <w:rPr>
                <w:rFonts w:ascii="宋体" w:eastAsia="宋体" w:hAnsi="宋体" w:cs="宋体"/>
                <w:color w:val="000000"/>
                <w:sz w:val="24"/>
                <w:szCs w:val="24"/>
              </w:rPr>
              <w:t>IPO</w:t>
            </w:r>
            <w:r w:rsidRPr="00004E1B">
              <w:rPr>
                <w:rFonts w:ascii="宋体" w:eastAsia="宋体" w:hAnsi="宋体" w:cs="宋体" w:hint="eastAsia"/>
                <w:color w:val="000000"/>
                <w:sz w:val="24"/>
                <w:szCs w:val="24"/>
              </w:rPr>
              <w:t>造假</w:t>
            </w:r>
            <w:proofErr w:type="gramStart"/>
            <w:r w:rsidRPr="00004E1B">
              <w:rPr>
                <w:rFonts w:ascii="宋体" w:eastAsia="宋体" w:hAnsi="宋体" w:cs="宋体" w:hint="eastAsia"/>
                <w:color w:val="000000"/>
                <w:sz w:val="24"/>
                <w:szCs w:val="24"/>
              </w:rPr>
              <w:t>贾跃亭</w:t>
            </w:r>
            <w:proofErr w:type="gramEnd"/>
            <w:r w:rsidRPr="00004E1B">
              <w:rPr>
                <w:rFonts w:ascii="宋体" w:eastAsia="宋体" w:hAnsi="宋体" w:cs="宋体" w:hint="eastAsia"/>
                <w:color w:val="000000"/>
                <w:sz w:val="24"/>
                <w:szCs w:val="24"/>
              </w:rPr>
              <w:t>家族套现</w:t>
            </w:r>
            <w:r w:rsidRPr="00004E1B">
              <w:rPr>
                <w:rFonts w:ascii="宋体" w:eastAsia="宋体" w:hAnsi="宋体" w:cs="宋体"/>
                <w:color w:val="000000"/>
                <w:sz w:val="24"/>
                <w:szCs w:val="24"/>
              </w:rPr>
              <w:t>180</w:t>
            </w:r>
            <w:r w:rsidRPr="00004E1B">
              <w:rPr>
                <w:rFonts w:ascii="宋体" w:eastAsia="宋体" w:hAnsi="宋体" w:cs="宋体" w:hint="eastAsia"/>
                <w:color w:val="000000"/>
                <w:sz w:val="24"/>
                <w:szCs w:val="24"/>
              </w:rPr>
              <w:t>亿、尔康制药虚增净利润</w:t>
            </w:r>
            <w:r w:rsidRPr="00004E1B">
              <w:rPr>
                <w:rFonts w:ascii="宋体" w:eastAsia="宋体" w:hAnsi="宋体" w:cs="宋体"/>
                <w:color w:val="000000"/>
                <w:sz w:val="24"/>
                <w:szCs w:val="24"/>
              </w:rPr>
              <w:t>2.3</w:t>
            </w:r>
            <w:r w:rsidRPr="00004E1B">
              <w:rPr>
                <w:rFonts w:ascii="宋体" w:eastAsia="宋体" w:hAnsi="宋体" w:cs="宋体" w:hint="eastAsia"/>
                <w:color w:val="000000"/>
                <w:sz w:val="24"/>
                <w:szCs w:val="24"/>
              </w:rPr>
              <w:t>亿等，基本每一个在退市边缘的企业都有过盈余管理。</w:t>
            </w:r>
          </w:p>
          <w:p w14:paraId="4670DD62" w14:textId="689EECF0" w:rsidR="00004E1B" w:rsidRP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004E1B">
              <w:rPr>
                <w:rFonts w:ascii="宋体" w:eastAsia="宋体" w:hAnsi="宋体" w:cs="宋体" w:hint="eastAsia"/>
                <w:color w:val="000000"/>
                <w:sz w:val="24"/>
                <w:szCs w:val="24"/>
              </w:rPr>
              <w:t>盈余管理</w:t>
            </w:r>
            <w:r w:rsidRPr="00004E1B">
              <w:rPr>
                <w:rFonts w:ascii="宋体" w:eastAsia="宋体" w:hAnsi="宋体" w:cs="宋体"/>
                <w:color w:val="000000"/>
                <w:sz w:val="24"/>
                <w:szCs w:val="24"/>
              </w:rPr>
              <w:t>(Healy and Wahlen, 1999 )</w:t>
            </w:r>
            <w:r w:rsidRPr="00004E1B">
              <w:rPr>
                <w:rFonts w:ascii="宋体" w:eastAsia="宋体" w:hAnsi="宋体" w:cs="宋体" w:hint="eastAsia"/>
                <w:color w:val="000000"/>
                <w:sz w:val="24"/>
                <w:szCs w:val="24"/>
              </w:rPr>
              <w:t>是管理层为了达到某种目的，在不违背企业会计准则的前提下，对企业财务报表及会计信息做出部分调整，或者改变企业真实经营活动，以此来控制披露的财务报告中利润指标，最终达到误导利益相关者对企业经营状况的认知。</w:t>
            </w:r>
            <w:r w:rsidRPr="00004E1B">
              <w:rPr>
                <w:rFonts w:ascii="宋体" w:eastAsia="宋体" w:hAnsi="宋体" w:cs="宋体"/>
                <w:color w:val="000000"/>
                <w:sz w:val="24"/>
                <w:szCs w:val="24"/>
              </w:rPr>
              <w:t>Dichev et al</w:t>
            </w:r>
            <w:r w:rsidRPr="00004E1B">
              <w:rPr>
                <w:rFonts w:ascii="宋体" w:eastAsia="宋体" w:hAnsi="宋体" w:cs="宋体" w:hint="eastAsia"/>
                <w:color w:val="000000"/>
                <w:sz w:val="24"/>
                <w:szCs w:val="24"/>
              </w:rPr>
              <w:t>（</w:t>
            </w:r>
            <w:r w:rsidRPr="00004E1B">
              <w:rPr>
                <w:rFonts w:ascii="宋体" w:eastAsia="宋体" w:hAnsi="宋体" w:cs="宋体"/>
                <w:color w:val="000000"/>
                <w:sz w:val="24"/>
                <w:szCs w:val="24"/>
              </w:rPr>
              <w:t>.2013</w:t>
            </w:r>
            <w:r w:rsidRPr="00004E1B">
              <w:rPr>
                <w:rFonts w:ascii="宋体" w:eastAsia="宋体" w:hAnsi="宋体" w:cs="宋体" w:hint="eastAsia"/>
                <w:color w:val="000000"/>
                <w:sz w:val="24"/>
                <w:szCs w:val="24"/>
              </w:rPr>
              <w:t>）对</w:t>
            </w:r>
            <w:r w:rsidRPr="00004E1B">
              <w:rPr>
                <w:rFonts w:ascii="宋体" w:eastAsia="宋体" w:hAnsi="宋体" w:cs="宋体"/>
                <w:color w:val="000000"/>
                <w:sz w:val="24"/>
                <w:szCs w:val="24"/>
              </w:rPr>
              <w:t xml:space="preserve"> 169 </w:t>
            </w:r>
            <w:r w:rsidRPr="00004E1B">
              <w:rPr>
                <w:rFonts w:ascii="宋体" w:eastAsia="宋体" w:hAnsi="宋体" w:cs="宋体" w:hint="eastAsia"/>
                <w:color w:val="000000"/>
                <w:sz w:val="24"/>
                <w:szCs w:val="24"/>
              </w:rPr>
              <w:t>家上市公司的财务总监进行了调查研究，发现超过</w:t>
            </w:r>
            <w:r w:rsidRPr="00004E1B">
              <w:rPr>
                <w:rFonts w:ascii="宋体" w:eastAsia="宋体" w:hAnsi="宋体" w:cs="宋体"/>
                <w:color w:val="000000"/>
                <w:sz w:val="24"/>
                <w:szCs w:val="24"/>
              </w:rPr>
              <w:t>20%</w:t>
            </w:r>
            <w:r w:rsidRPr="00004E1B">
              <w:rPr>
                <w:rFonts w:ascii="宋体" w:eastAsia="宋体" w:hAnsi="宋体" w:cs="宋体" w:hint="eastAsia"/>
                <w:color w:val="000000"/>
                <w:sz w:val="24"/>
                <w:szCs w:val="24"/>
              </w:rPr>
              <w:t>的公司对经营业绩进行过盈余管理。冯素珍（</w:t>
            </w:r>
            <w:r w:rsidRPr="00004E1B">
              <w:rPr>
                <w:rFonts w:ascii="宋体" w:eastAsia="宋体" w:hAnsi="宋体" w:cs="宋体"/>
                <w:color w:val="000000"/>
                <w:sz w:val="24"/>
                <w:szCs w:val="24"/>
              </w:rPr>
              <w:t>2016</w:t>
            </w:r>
            <w:r w:rsidRPr="00004E1B">
              <w:rPr>
                <w:rFonts w:ascii="宋体" w:eastAsia="宋体" w:hAnsi="宋体" w:cs="宋体" w:hint="eastAsia"/>
                <w:color w:val="000000"/>
                <w:sz w:val="24"/>
                <w:szCs w:val="24"/>
              </w:rPr>
              <w:t>）研究了</w:t>
            </w:r>
            <w:r w:rsidRPr="00004E1B">
              <w:rPr>
                <w:rFonts w:ascii="宋体" w:eastAsia="宋体" w:hAnsi="宋体" w:cs="宋体"/>
                <w:color w:val="000000"/>
                <w:sz w:val="24"/>
                <w:szCs w:val="24"/>
              </w:rPr>
              <w:t xml:space="preserve"> 2010-2015 </w:t>
            </w:r>
            <w:proofErr w:type="gramStart"/>
            <w:r w:rsidRPr="00004E1B">
              <w:rPr>
                <w:rFonts w:ascii="宋体" w:eastAsia="宋体" w:hAnsi="宋体" w:cs="宋体" w:hint="eastAsia"/>
                <w:color w:val="000000"/>
                <w:sz w:val="24"/>
                <w:szCs w:val="24"/>
              </w:rPr>
              <w:t>年受证监会</w:t>
            </w:r>
            <w:proofErr w:type="gramEnd"/>
            <w:r w:rsidRPr="00004E1B">
              <w:rPr>
                <w:rFonts w:ascii="宋体" w:eastAsia="宋体" w:hAnsi="宋体" w:cs="宋体" w:hint="eastAsia"/>
                <w:color w:val="000000"/>
                <w:sz w:val="24"/>
                <w:szCs w:val="24"/>
              </w:rPr>
              <w:t>处罚的舞弊企业所涉及的行业发现众多行业中均存在财务舞弊现象其中以制造业的舞弊现象最为严重。应计盈余管理和真实盈余管理是我国企业经营管理活动中的两种类型。应计盈余管理是指以使用变更会计估计或会计政策的手段，巧妙地在不违背会计准则的情况下实现调节企业经营净利润或者企业重要财务类信息的目的。我国的会计准则要求企业采用权责发生制原则确认当期收益与成本，因此到资产负债表日，财务报表中的应计项目可操作性较强，企业管理层极有可能为了私人目的而粉饰真实企业绩效。真实盈余管理则是指管理层在损害企业长期发展收益的同时</w:t>
            </w:r>
            <w:r>
              <w:rPr>
                <w:rFonts w:ascii="宋体" w:eastAsia="宋体" w:hAnsi="宋体" w:cs="宋体" w:hint="eastAsia"/>
                <w:color w:val="000000"/>
                <w:sz w:val="24"/>
                <w:szCs w:val="24"/>
              </w:rPr>
              <w:t>，</w:t>
            </w:r>
            <w:r w:rsidRPr="00004E1B">
              <w:rPr>
                <w:rFonts w:ascii="宋体" w:eastAsia="宋体" w:hAnsi="宋体" w:cs="宋体" w:hint="eastAsia"/>
                <w:color w:val="000000"/>
                <w:sz w:val="24"/>
                <w:szCs w:val="24"/>
              </w:rPr>
              <w:t>构造真实的交易活动，以达到企业对当期经营利润的控制，例如出售资产、关联交易等，而在外部监管和审计过程中，此类经营活动往往难以取证。一旦真实盈余管理被利益相关者举报或者政府</w:t>
            </w:r>
            <w:r w:rsidRPr="00004E1B">
              <w:rPr>
                <w:rFonts w:ascii="宋体" w:eastAsia="宋体" w:hAnsi="宋体" w:cs="宋体" w:hint="eastAsia"/>
                <w:color w:val="000000"/>
                <w:sz w:val="24"/>
                <w:szCs w:val="24"/>
              </w:rPr>
              <w:lastRenderedPageBreak/>
              <w:t>监管机构发现，将会受到更加严厉的惩罚，盈余管理成本也因此增加。</w:t>
            </w:r>
          </w:p>
          <w:p w14:paraId="72E9C699" w14:textId="33F4A7B4" w:rsidR="00004E1B" w:rsidRP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004E1B">
              <w:rPr>
                <w:rFonts w:ascii="宋体" w:eastAsia="宋体" w:hAnsi="宋体" w:cs="宋体" w:hint="eastAsia"/>
                <w:color w:val="000000"/>
                <w:sz w:val="24"/>
                <w:szCs w:val="24"/>
              </w:rPr>
              <w:t>随着金融市场与信息技术的快速发展，市场资源变得多样化并且容易获取，如何依据自身资源以及资金实力选择经营领域与方式，是在资本市场中稳健发展的决定性因素之一。企业在经营活动中，为了长期占领市场份额，往往会运用战略差异形成核心竞争力，而脱离主流战略的企业，也承受着较普通战略企业更大的市场风险，不被外部投资者看好而难以引入投资，为了打造在个人治理功劳下企业的收益稳步增长的美好形象，</w:t>
            </w:r>
            <w:r w:rsidRPr="00004E1B">
              <w:rPr>
                <w:rFonts w:ascii="宋体" w:eastAsia="宋体" w:hAnsi="宋体" w:cs="宋体"/>
                <w:color w:val="000000"/>
                <w:sz w:val="24"/>
                <w:szCs w:val="24"/>
              </w:rPr>
              <w:t xml:space="preserve"> </w:t>
            </w:r>
            <w:r w:rsidRPr="00004E1B">
              <w:rPr>
                <w:rFonts w:ascii="宋体" w:eastAsia="宋体" w:hAnsi="宋体" w:cs="宋体" w:hint="eastAsia"/>
                <w:color w:val="000000"/>
                <w:sz w:val="24"/>
                <w:szCs w:val="24"/>
              </w:rPr>
              <w:t>管理层可能萌生操纵盈余的动机；同时战略差异较大的企业内部组织结构与管理体制较普通企业更为复杂，由此而造成的信息不对称为管理层进行盈余管理提供了便利。</w:t>
            </w:r>
          </w:p>
          <w:p w14:paraId="44CA23A4" w14:textId="77777777" w:rsid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004E1B">
              <w:rPr>
                <w:rFonts w:ascii="宋体" w:eastAsia="宋体" w:hAnsi="宋体" w:cs="宋体" w:hint="eastAsia"/>
                <w:color w:val="000000"/>
                <w:sz w:val="24"/>
                <w:szCs w:val="24"/>
              </w:rPr>
              <w:t>当企业战略与行业平均水平存在较大差异时，企业内部组织结构或对外业务流程、交易政策等都不同于行业内大部分企业，故而对外部投资者造成收益稳定性较低的不良印象，此时企业可能因为战略模式难以被外部利益相关者所理解而造成融资困难的情况，发生融资不足或者资金成本高的艰难处境。盈余管理的相关文献指出，盈余管理的重要动机之一便是融资需求，盈余管理有助于融资需求较高的企业及时足额的获取金融机构投资。通过分析推测，融资困难很可能在企业战略差异与盈余管理之间起到传递效应，即公司战略通过影响融资进而改变企业的盈余管理行为。现有文献多数研究了高管特征、股权激励、市场竞争等对盈余管理的影响，而战略差异与盈余管理之间的相关情况还未引起学者的足够关注。</w:t>
            </w:r>
          </w:p>
          <w:p w14:paraId="5EE08C07" w14:textId="77777777" w:rsid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p>
          <w:p w14:paraId="3DD849D0" w14:textId="77777777" w:rsidR="00004E1B" w:rsidRDefault="00004E1B"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004E1B">
              <w:rPr>
                <w:rFonts w:ascii="宋体" w:eastAsia="宋体" w:hAnsi="宋体" w:cs="宋体" w:hint="eastAsia"/>
                <w:color w:val="000000"/>
                <w:sz w:val="24"/>
                <w:szCs w:val="24"/>
              </w:rPr>
              <w:t>虽然对于公司战略与盈余管理，国内外学者做了诸多研究，但重点更多的集中于企业战略类型对盈余管理的影响，并且很少有学者探讨企业战略差异对盈余管理的关系以及作用路径。本文首先以盈余管理为切入点，深化作用路径，丰富了企业战略差异与盈余管理领域的相关理论体系，为以后的研究提供新的方向，也为企业制定战略提供了一定的参考。如果管理层在战略制定时偏离行业普通水平较大，很可能提高外部融资成本、造成盈余管理或者过度盈余管理导致更严重的经营事故；所以在本研究之后，管理层可以更多的从盈余管理视角考虑企业的战略</w:t>
            </w:r>
            <w:r>
              <w:rPr>
                <w:rFonts w:ascii="宋体" w:eastAsia="宋体" w:hAnsi="宋体" w:cs="宋体" w:hint="eastAsia"/>
                <w:color w:val="000000"/>
                <w:sz w:val="24"/>
                <w:szCs w:val="24"/>
              </w:rPr>
              <w:t>定</w:t>
            </w:r>
            <w:r w:rsidRPr="00004E1B">
              <w:rPr>
                <w:rFonts w:ascii="宋体" w:eastAsia="宋体" w:hAnsi="宋体" w:cs="宋体" w:hint="eastAsia"/>
                <w:color w:val="000000"/>
                <w:sz w:val="24"/>
                <w:szCs w:val="24"/>
              </w:rPr>
              <w:t>位。</w:t>
            </w:r>
          </w:p>
          <w:p w14:paraId="4B06EB16" w14:textId="77777777" w:rsidR="007367F4" w:rsidRDefault="00004E1B" w:rsidP="00004E1B">
            <w:pPr>
              <w:pStyle w:val="a9"/>
              <w:tabs>
                <w:tab w:val="left" w:pos="817"/>
              </w:tabs>
              <w:adjustRightInd w:val="0"/>
              <w:snapToGrid w:val="0"/>
              <w:spacing w:line="400" w:lineRule="exact"/>
              <w:ind w:left="0" w:firstLineChars="200" w:firstLine="480"/>
              <w:jc w:val="left"/>
              <w:rPr>
                <w:rFonts w:ascii="宋体" w:eastAsia="宋体" w:hAnsi="宋体"/>
                <w:sz w:val="24"/>
              </w:rPr>
            </w:pPr>
            <w:r w:rsidRPr="00004E1B">
              <w:rPr>
                <w:rFonts w:ascii="宋体" w:eastAsia="宋体" w:hAnsi="宋体" w:cs="宋体" w:hint="eastAsia"/>
                <w:color w:val="000000"/>
                <w:sz w:val="24"/>
                <w:szCs w:val="24"/>
              </w:rPr>
              <w:t>其次，本文仔细梳理了委托代理理论和信息不对称理论在战</w:t>
            </w:r>
            <w:r w:rsidRPr="00004E1B">
              <w:rPr>
                <w:rFonts w:ascii="宋体" w:eastAsia="宋体" w:hAnsi="宋体" w:cs="宋体" w:hint="eastAsia"/>
                <w:color w:val="000000"/>
                <w:sz w:val="24"/>
                <w:szCs w:val="24"/>
              </w:rPr>
              <w:lastRenderedPageBreak/>
              <w:t>略差异与盈余管理之间的作用机制，为委托人与代理人之间的契约建立带来了一种新的思考角度。当企业战略差异较大时，其内部组织结构及管理体制必然异于行业普通标准，由此造成的信息不对称为盈余管理带来了便利；而基于委托代理理论，管理层作为理性</w:t>
            </w:r>
            <w:proofErr w:type="gramStart"/>
            <w:r w:rsidRPr="00004E1B">
              <w:rPr>
                <w:rFonts w:ascii="宋体" w:eastAsia="宋体" w:hAnsi="宋体" w:cs="宋体" w:hint="eastAsia"/>
                <w:color w:val="000000"/>
                <w:sz w:val="24"/>
                <w:szCs w:val="24"/>
              </w:rPr>
              <w:t>经济人</w:t>
            </w:r>
            <w:proofErr w:type="gramEnd"/>
            <w:r w:rsidRPr="00004E1B">
              <w:rPr>
                <w:rFonts w:ascii="宋体" w:eastAsia="宋体" w:hAnsi="宋体" w:cs="宋体" w:hint="eastAsia"/>
                <w:color w:val="000000"/>
                <w:sz w:val="24"/>
                <w:szCs w:val="24"/>
              </w:rPr>
              <w:t>，为了私人利益便存在了侵害股东利益的动机。基于此，当股东与高管建立合作契约时，可以从企业盈余管理的维</w:t>
            </w:r>
            <w:proofErr w:type="gramStart"/>
            <w:r w:rsidRPr="00004E1B">
              <w:rPr>
                <w:rFonts w:ascii="宋体" w:eastAsia="宋体" w:hAnsi="宋体" w:cs="宋体" w:hint="eastAsia"/>
                <w:color w:val="000000"/>
                <w:sz w:val="24"/>
                <w:szCs w:val="24"/>
              </w:rPr>
              <w:t>度设立</w:t>
            </w:r>
            <w:proofErr w:type="gramEnd"/>
            <w:r w:rsidRPr="00004E1B">
              <w:rPr>
                <w:rFonts w:ascii="宋体" w:eastAsia="宋体" w:hAnsi="宋体" w:cs="宋体" w:hint="eastAsia"/>
                <w:color w:val="000000"/>
                <w:sz w:val="24"/>
                <w:szCs w:val="24"/>
              </w:rPr>
              <w:t>更新的约束标准。最后，从战略差异看企业盈余管理，有助于外部利益相关者在信息不对称的背景下，</w:t>
            </w:r>
            <w:r w:rsidRPr="00004E1B">
              <w:rPr>
                <w:rFonts w:ascii="宋体" w:eastAsia="宋体" w:hAnsi="宋体" w:cs="宋体"/>
                <w:color w:val="000000"/>
                <w:sz w:val="24"/>
                <w:szCs w:val="24"/>
              </w:rPr>
              <w:t>用理性眼光看待企业披露的财务报告</w:t>
            </w:r>
            <w:r w:rsidRPr="00004E1B">
              <w:rPr>
                <w:rFonts w:ascii="宋体" w:eastAsia="宋体" w:hAnsi="宋体" w:cs="宋体" w:hint="eastAsia"/>
                <w:color w:val="000000"/>
                <w:sz w:val="24"/>
                <w:szCs w:val="24"/>
              </w:rPr>
              <w:t>。市场投资者在做投资决策时可以参考企业战略估计投资风险，税务机关、证监会等监管机构在审核企业纳税申报时，可以从战略差异入手，设立税务审计风险点。事务所审计财务报告过程中，对战略定位偏离行业平均水平较大的企业给予足够的关注，适当的调整审计的重要性水平及执行程序。</w:t>
            </w:r>
            <w:r w:rsidR="007367F4">
              <w:rPr>
                <w:rFonts w:ascii="宋体" w:eastAsia="宋体" w:hAnsi="宋体" w:hint="eastAsia"/>
                <w:sz w:val="24"/>
              </w:rPr>
              <w:t>目前在国内，较多的学者从委托代理理论、信息不对称理论出发，探讨了公司治理、企业周期及外部审计等对盈余管理的影响，而基于企业战略差异对盈余管理的影响研究尚处于起步阶段。</w:t>
            </w:r>
          </w:p>
          <w:p w14:paraId="05849F68" w14:textId="5C0C4546" w:rsidR="00004E1B" w:rsidRPr="00004E1B" w:rsidRDefault="007367F4" w:rsidP="00004E1B">
            <w:pPr>
              <w:pStyle w:val="a9"/>
              <w:tabs>
                <w:tab w:val="left" w:pos="817"/>
              </w:tabs>
              <w:adjustRightInd w:val="0"/>
              <w:snapToGrid w:val="0"/>
              <w:spacing w:line="400" w:lineRule="exact"/>
              <w:ind w:left="0" w:firstLineChars="200" w:firstLine="480"/>
              <w:jc w:val="left"/>
              <w:rPr>
                <w:rFonts w:ascii="宋体" w:eastAsia="宋体" w:hAnsi="宋体" w:cs="宋体"/>
                <w:color w:val="000000"/>
                <w:sz w:val="24"/>
                <w:szCs w:val="24"/>
              </w:rPr>
            </w:pPr>
            <w:r w:rsidRPr="007367F4">
              <w:rPr>
                <w:rFonts w:ascii="宋体" w:eastAsia="宋体" w:hAnsi="宋体" w:hint="eastAsia"/>
                <w:sz w:val="24"/>
              </w:rPr>
              <w:t>本文在此背景下，以代理理论为切入点，试图研究企业战略差异与盈余管理的关系，进一步考察融资约束、</w:t>
            </w:r>
            <w:r w:rsidRPr="007367F4">
              <w:rPr>
                <w:rFonts w:ascii="宋体" w:eastAsia="宋体" w:hAnsi="宋体" w:hint="eastAsia"/>
                <w:sz w:val="24"/>
                <w:lang w:val="en-US"/>
              </w:rPr>
              <w:t>风险承担</w:t>
            </w:r>
            <w:r w:rsidRPr="007367F4">
              <w:rPr>
                <w:rFonts w:ascii="宋体" w:eastAsia="宋体" w:hAnsi="宋体" w:hint="eastAsia"/>
                <w:sz w:val="24"/>
              </w:rPr>
              <w:t>在战略差异与盈余管理两者间的中介作用。采用2013-2017年A股上市公司样本作为面板数据，构建“差异化战略—融资约束—盈余管理”的研究框架，探究企业战略差异如何通过影响企业融资进而影响盈余管理。最终确定A股上市公司5年的战略差异、融资约束与盈余管理的相关财务数据，研究数据主要来源于Wind数据库和巨潮资讯网，并经过公司年报进行核对整理。其中，上市公司分行业收入遵循《国民经济行业分类与代码》的规定，结合公司年报进行获取。</w:t>
            </w:r>
          </w:p>
        </w:tc>
      </w:tr>
      <w:tr w:rsidR="00004E1B" w14:paraId="658123AC" w14:textId="77777777" w:rsidTr="005525FA">
        <w:trPr>
          <w:trHeight w:val="680"/>
          <w:jc w:val="center"/>
        </w:trPr>
        <w:tc>
          <w:tcPr>
            <w:tcW w:w="2362" w:type="dxa"/>
            <w:vAlign w:val="center"/>
          </w:tcPr>
          <w:p w14:paraId="0915965D" w14:textId="77777777" w:rsidR="00004E1B" w:rsidRDefault="00004E1B" w:rsidP="00004E1B">
            <w:pPr>
              <w:jc w:val="center"/>
              <w:rPr>
                <w:rFonts w:ascii="宋体" w:eastAsia="宋体" w:hAnsi="宋体"/>
                <w:sz w:val="24"/>
              </w:rPr>
            </w:pPr>
            <w:r>
              <w:rPr>
                <w:rFonts w:ascii="宋体" w:eastAsia="宋体" w:hAnsi="宋体" w:hint="eastAsia"/>
                <w:sz w:val="24"/>
              </w:rPr>
              <w:lastRenderedPageBreak/>
              <w:t>拟定学位论文题目</w:t>
            </w:r>
          </w:p>
        </w:tc>
        <w:tc>
          <w:tcPr>
            <w:tcW w:w="6982" w:type="dxa"/>
            <w:vAlign w:val="center"/>
          </w:tcPr>
          <w:p w14:paraId="1C362DA0" w14:textId="0C79984B" w:rsidR="00004E1B" w:rsidRDefault="00004E1B" w:rsidP="007367F4">
            <w:pPr>
              <w:spacing w:line="400" w:lineRule="exact"/>
              <w:rPr>
                <w:rFonts w:ascii="宋体" w:eastAsia="宋体" w:hAnsi="宋体"/>
                <w:sz w:val="24"/>
              </w:rPr>
            </w:pPr>
            <w:r w:rsidRPr="00004E1B">
              <w:rPr>
                <w:rFonts w:ascii="宋体" w:eastAsia="宋体" w:hAnsi="宋体" w:hint="eastAsia"/>
                <w:sz w:val="24"/>
              </w:rPr>
              <w:t>企业战略差异对于盈余管理的影响</w:t>
            </w:r>
            <w:r w:rsidR="007367F4" w:rsidRPr="007367F4">
              <w:rPr>
                <w:rFonts w:ascii="宋体" w:eastAsia="宋体" w:hAnsi="宋体"/>
                <w:sz w:val="24"/>
              </w:rPr>
              <w:t>---基于A</w:t>
            </w:r>
            <w:proofErr w:type="gramStart"/>
            <w:r w:rsidR="007367F4" w:rsidRPr="007367F4">
              <w:rPr>
                <w:rFonts w:ascii="宋体" w:eastAsia="宋体" w:hAnsi="宋体"/>
                <w:sz w:val="24"/>
              </w:rPr>
              <w:t>股沪深</w:t>
            </w:r>
            <w:proofErr w:type="gramEnd"/>
            <w:r w:rsidR="007367F4" w:rsidRPr="007367F4">
              <w:rPr>
                <w:rFonts w:ascii="宋体" w:eastAsia="宋体" w:hAnsi="宋体"/>
                <w:sz w:val="24"/>
              </w:rPr>
              <w:t>上市公司实证研究</w:t>
            </w:r>
          </w:p>
        </w:tc>
      </w:tr>
      <w:tr w:rsidR="00004E1B" w14:paraId="0A556F60" w14:textId="77777777" w:rsidTr="005525FA">
        <w:trPr>
          <w:trHeight w:val="6386"/>
          <w:jc w:val="center"/>
        </w:trPr>
        <w:tc>
          <w:tcPr>
            <w:tcW w:w="2362" w:type="dxa"/>
            <w:vAlign w:val="center"/>
          </w:tcPr>
          <w:p w14:paraId="26426171" w14:textId="77777777" w:rsidR="00004E1B" w:rsidRDefault="00004E1B" w:rsidP="00004E1B">
            <w:pPr>
              <w:jc w:val="center"/>
              <w:rPr>
                <w:rFonts w:ascii="宋体" w:eastAsia="宋体" w:hAnsi="宋体"/>
                <w:sz w:val="24"/>
              </w:rPr>
            </w:pPr>
            <w:r>
              <w:rPr>
                <w:rFonts w:ascii="宋体" w:eastAsia="宋体" w:hAnsi="宋体" w:hint="eastAsia"/>
                <w:sz w:val="24"/>
              </w:rPr>
              <w:lastRenderedPageBreak/>
              <w:t>拟定学位论文提纲</w:t>
            </w:r>
          </w:p>
        </w:tc>
        <w:tc>
          <w:tcPr>
            <w:tcW w:w="6982" w:type="dxa"/>
            <w:vAlign w:val="center"/>
          </w:tcPr>
          <w:p w14:paraId="5BA0EB5D" w14:textId="67FC98CB"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第一章 绪论</w:t>
            </w:r>
          </w:p>
          <w:p w14:paraId="47723B48" w14:textId="018998D6" w:rsidR="00004E1B" w:rsidRDefault="00004E1B" w:rsidP="00004E1B">
            <w:pPr>
              <w:rPr>
                <w:rFonts w:ascii="宋体" w:eastAsia="宋体" w:hAnsi="宋体"/>
                <w:sz w:val="24"/>
                <w:szCs w:val="28"/>
              </w:rPr>
            </w:pPr>
            <w:r w:rsidRPr="00813571">
              <w:rPr>
                <w:rFonts w:ascii="宋体" w:eastAsia="宋体" w:hAnsi="宋体" w:hint="eastAsia"/>
                <w:sz w:val="24"/>
                <w:szCs w:val="28"/>
              </w:rPr>
              <w:t>1.1研究背景及意义</w:t>
            </w:r>
          </w:p>
          <w:p w14:paraId="16B9041D" w14:textId="5C6812CE" w:rsidR="004F3002" w:rsidRDefault="004F3002" w:rsidP="00004E1B">
            <w:pPr>
              <w:rPr>
                <w:rFonts w:ascii="宋体" w:eastAsia="宋体" w:hAnsi="宋体"/>
                <w:sz w:val="24"/>
                <w:szCs w:val="28"/>
              </w:rPr>
            </w:pPr>
            <w:r>
              <w:rPr>
                <w:rFonts w:ascii="宋体" w:eastAsia="宋体" w:hAnsi="宋体" w:hint="eastAsia"/>
                <w:sz w:val="24"/>
                <w:szCs w:val="28"/>
              </w:rPr>
              <w:t>1.1.1研究背景</w:t>
            </w:r>
          </w:p>
          <w:p w14:paraId="1FA66033" w14:textId="0F775A87" w:rsidR="004F3002" w:rsidRPr="00813571" w:rsidRDefault="004F3002" w:rsidP="00004E1B">
            <w:pPr>
              <w:rPr>
                <w:rFonts w:ascii="宋体" w:eastAsia="宋体" w:hAnsi="宋体"/>
                <w:sz w:val="24"/>
                <w:szCs w:val="28"/>
              </w:rPr>
            </w:pPr>
            <w:r>
              <w:rPr>
                <w:rFonts w:ascii="宋体" w:eastAsia="宋体" w:hAnsi="宋体" w:hint="eastAsia"/>
                <w:sz w:val="24"/>
                <w:szCs w:val="28"/>
              </w:rPr>
              <w:t>1.1.2研究意义</w:t>
            </w:r>
          </w:p>
          <w:p w14:paraId="001824D6" w14:textId="70D8A1DD" w:rsidR="00004E1B" w:rsidRDefault="00004E1B" w:rsidP="00004E1B">
            <w:pPr>
              <w:rPr>
                <w:rFonts w:ascii="宋体" w:eastAsia="宋体" w:hAnsi="宋体"/>
                <w:sz w:val="24"/>
                <w:szCs w:val="28"/>
              </w:rPr>
            </w:pPr>
            <w:r w:rsidRPr="00813571">
              <w:rPr>
                <w:rFonts w:ascii="宋体" w:eastAsia="宋体" w:hAnsi="宋体" w:hint="eastAsia"/>
                <w:sz w:val="24"/>
                <w:szCs w:val="28"/>
              </w:rPr>
              <w:t>1.2研究内容及框架</w:t>
            </w:r>
          </w:p>
          <w:p w14:paraId="41C69DA9" w14:textId="77FF6F50" w:rsidR="004F3002" w:rsidRDefault="004F3002" w:rsidP="00004E1B">
            <w:pPr>
              <w:rPr>
                <w:rFonts w:ascii="宋体" w:eastAsia="宋体" w:hAnsi="宋体"/>
                <w:sz w:val="24"/>
                <w:szCs w:val="28"/>
              </w:rPr>
            </w:pPr>
            <w:r>
              <w:rPr>
                <w:rFonts w:ascii="宋体" w:eastAsia="宋体" w:hAnsi="宋体" w:hint="eastAsia"/>
                <w:sz w:val="24"/>
                <w:szCs w:val="28"/>
              </w:rPr>
              <w:t>1.2.1研究内容</w:t>
            </w:r>
          </w:p>
          <w:p w14:paraId="1D5E5091" w14:textId="06D3F743" w:rsidR="004F3002" w:rsidRPr="00813571" w:rsidRDefault="004F3002" w:rsidP="00004E1B">
            <w:pPr>
              <w:rPr>
                <w:rFonts w:ascii="宋体" w:eastAsia="宋体" w:hAnsi="宋体"/>
                <w:sz w:val="24"/>
                <w:szCs w:val="28"/>
              </w:rPr>
            </w:pPr>
            <w:r>
              <w:rPr>
                <w:rFonts w:ascii="宋体" w:eastAsia="宋体" w:hAnsi="宋体" w:hint="eastAsia"/>
                <w:sz w:val="24"/>
                <w:szCs w:val="28"/>
              </w:rPr>
              <w:t>1.2.2研究框架</w:t>
            </w:r>
          </w:p>
          <w:p w14:paraId="3949E655" w14:textId="3C000640"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1.3研究方法</w:t>
            </w:r>
          </w:p>
          <w:p w14:paraId="6118E258" w14:textId="522233E4" w:rsidR="00004E1B" w:rsidRDefault="00004E1B" w:rsidP="00004E1B">
            <w:pPr>
              <w:rPr>
                <w:rFonts w:ascii="宋体" w:eastAsia="宋体" w:hAnsi="宋体"/>
                <w:sz w:val="24"/>
                <w:szCs w:val="28"/>
              </w:rPr>
            </w:pPr>
            <w:r w:rsidRPr="00813571">
              <w:rPr>
                <w:rFonts w:ascii="宋体" w:eastAsia="宋体" w:hAnsi="宋体" w:hint="eastAsia"/>
                <w:sz w:val="24"/>
                <w:szCs w:val="28"/>
              </w:rPr>
              <w:t>1.4可能的创新点及不足</w:t>
            </w:r>
          </w:p>
          <w:p w14:paraId="052D939D" w14:textId="370B9810" w:rsidR="007367F4" w:rsidRDefault="007367F4" w:rsidP="00004E1B">
            <w:pPr>
              <w:rPr>
                <w:rFonts w:ascii="宋体" w:eastAsia="宋体" w:hAnsi="宋体"/>
                <w:sz w:val="24"/>
                <w:szCs w:val="28"/>
              </w:rPr>
            </w:pPr>
            <w:r>
              <w:rPr>
                <w:rFonts w:ascii="宋体" w:eastAsia="宋体" w:hAnsi="宋体" w:hint="eastAsia"/>
                <w:sz w:val="24"/>
                <w:szCs w:val="28"/>
              </w:rPr>
              <w:t>1.4.1可能存在的创新点</w:t>
            </w:r>
          </w:p>
          <w:p w14:paraId="52D55BDA" w14:textId="74CDCF89" w:rsidR="007367F4" w:rsidRPr="00813571" w:rsidRDefault="007367F4" w:rsidP="00004E1B">
            <w:pPr>
              <w:rPr>
                <w:rFonts w:ascii="宋体" w:eastAsia="宋体" w:hAnsi="宋体" w:hint="eastAsia"/>
                <w:sz w:val="24"/>
                <w:szCs w:val="28"/>
              </w:rPr>
            </w:pPr>
            <w:r>
              <w:rPr>
                <w:rFonts w:ascii="宋体" w:eastAsia="宋体" w:hAnsi="宋体" w:hint="eastAsia"/>
                <w:sz w:val="24"/>
                <w:szCs w:val="28"/>
              </w:rPr>
              <w:t>1.4.2本文可能的不足</w:t>
            </w:r>
          </w:p>
          <w:p w14:paraId="12B035A5" w14:textId="62CE6E54" w:rsidR="00004E1B" w:rsidRPr="00813571" w:rsidRDefault="00004E1B" w:rsidP="00004E1B">
            <w:pPr>
              <w:rPr>
                <w:rFonts w:ascii="宋体" w:eastAsia="宋体" w:hAnsi="宋体"/>
                <w:sz w:val="24"/>
                <w:szCs w:val="28"/>
              </w:rPr>
            </w:pPr>
          </w:p>
          <w:p w14:paraId="0D06AF18" w14:textId="5950FE04"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第二章 基本概念及文献综述</w:t>
            </w:r>
          </w:p>
          <w:p w14:paraId="5477EF61" w14:textId="0CC1863B" w:rsidR="00004E1B" w:rsidRDefault="00004E1B" w:rsidP="00004E1B">
            <w:pPr>
              <w:rPr>
                <w:rFonts w:ascii="宋体" w:eastAsia="宋体" w:hAnsi="宋体"/>
                <w:sz w:val="24"/>
                <w:szCs w:val="28"/>
              </w:rPr>
            </w:pPr>
            <w:r w:rsidRPr="00813571">
              <w:rPr>
                <w:rFonts w:ascii="宋体" w:eastAsia="宋体" w:hAnsi="宋体" w:hint="eastAsia"/>
                <w:sz w:val="24"/>
                <w:szCs w:val="28"/>
              </w:rPr>
              <w:t>2.1基本概念界定</w:t>
            </w:r>
          </w:p>
          <w:p w14:paraId="77474472" w14:textId="0FDAA051" w:rsidR="004F3002" w:rsidRDefault="004F3002" w:rsidP="00004E1B">
            <w:pPr>
              <w:rPr>
                <w:rFonts w:ascii="宋体" w:eastAsia="宋体" w:hAnsi="宋体"/>
                <w:sz w:val="24"/>
                <w:szCs w:val="28"/>
              </w:rPr>
            </w:pPr>
            <w:r>
              <w:rPr>
                <w:rFonts w:ascii="宋体" w:eastAsia="宋体" w:hAnsi="宋体" w:hint="eastAsia"/>
                <w:sz w:val="24"/>
                <w:szCs w:val="28"/>
              </w:rPr>
              <w:t>2.1.1企业战略</w:t>
            </w:r>
          </w:p>
          <w:p w14:paraId="5144EA3D" w14:textId="6115316D" w:rsidR="004F3002" w:rsidRDefault="004F3002" w:rsidP="00004E1B">
            <w:pPr>
              <w:rPr>
                <w:rFonts w:ascii="宋体" w:eastAsia="宋体" w:hAnsi="宋体"/>
                <w:sz w:val="24"/>
                <w:szCs w:val="28"/>
              </w:rPr>
            </w:pPr>
            <w:r>
              <w:rPr>
                <w:rFonts w:ascii="宋体" w:eastAsia="宋体" w:hAnsi="宋体" w:hint="eastAsia"/>
                <w:sz w:val="24"/>
                <w:szCs w:val="28"/>
              </w:rPr>
              <w:t>2.1.2盈余管理</w:t>
            </w:r>
          </w:p>
          <w:p w14:paraId="66843733" w14:textId="051603C9" w:rsidR="00004E1B" w:rsidRDefault="00004E1B" w:rsidP="00004E1B">
            <w:pPr>
              <w:rPr>
                <w:rFonts w:ascii="宋体" w:eastAsia="宋体" w:hAnsi="宋体"/>
                <w:sz w:val="24"/>
                <w:szCs w:val="28"/>
              </w:rPr>
            </w:pPr>
            <w:r w:rsidRPr="00813571">
              <w:rPr>
                <w:rFonts w:ascii="宋体" w:eastAsia="宋体" w:hAnsi="宋体" w:hint="eastAsia"/>
                <w:sz w:val="24"/>
                <w:szCs w:val="28"/>
              </w:rPr>
              <w:t>2.2文献综述</w:t>
            </w:r>
          </w:p>
          <w:p w14:paraId="389BD9B0" w14:textId="7395CB37" w:rsidR="004F3002" w:rsidRDefault="004F3002" w:rsidP="00004E1B">
            <w:pPr>
              <w:rPr>
                <w:rFonts w:ascii="宋体" w:eastAsia="宋体" w:hAnsi="宋体"/>
                <w:sz w:val="24"/>
                <w:szCs w:val="28"/>
              </w:rPr>
            </w:pPr>
            <w:r>
              <w:rPr>
                <w:rFonts w:ascii="宋体" w:eastAsia="宋体" w:hAnsi="宋体" w:hint="eastAsia"/>
                <w:sz w:val="24"/>
                <w:szCs w:val="28"/>
              </w:rPr>
              <w:t>2.2.1企业战略相关文献</w:t>
            </w:r>
          </w:p>
          <w:p w14:paraId="54A1F5FD" w14:textId="2228EC80" w:rsidR="004F3002" w:rsidRDefault="004F3002" w:rsidP="00004E1B">
            <w:pPr>
              <w:rPr>
                <w:rFonts w:ascii="宋体" w:eastAsia="宋体" w:hAnsi="宋体"/>
                <w:sz w:val="24"/>
                <w:szCs w:val="28"/>
              </w:rPr>
            </w:pPr>
            <w:r>
              <w:rPr>
                <w:rFonts w:ascii="宋体" w:eastAsia="宋体" w:hAnsi="宋体" w:hint="eastAsia"/>
                <w:sz w:val="24"/>
                <w:szCs w:val="28"/>
              </w:rPr>
              <w:t>2.2.2盈余管理相关文献</w:t>
            </w:r>
          </w:p>
          <w:p w14:paraId="1705ABD7" w14:textId="6AAD756A" w:rsidR="004F3002" w:rsidRDefault="004F3002" w:rsidP="00004E1B">
            <w:pPr>
              <w:rPr>
                <w:rFonts w:ascii="宋体" w:eastAsia="宋体" w:hAnsi="宋体"/>
                <w:sz w:val="24"/>
                <w:szCs w:val="28"/>
              </w:rPr>
            </w:pPr>
            <w:r>
              <w:rPr>
                <w:rFonts w:ascii="宋体" w:eastAsia="宋体" w:hAnsi="宋体" w:hint="eastAsia"/>
                <w:sz w:val="24"/>
                <w:szCs w:val="28"/>
              </w:rPr>
              <w:t>2.2.3企业战略差异对于盈余管理的影响文献</w:t>
            </w:r>
          </w:p>
          <w:p w14:paraId="1B7E65A9" w14:textId="5E1AFA0B" w:rsidR="004F3002" w:rsidRPr="00813571" w:rsidRDefault="004F3002" w:rsidP="00004E1B">
            <w:pPr>
              <w:rPr>
                <w:rFonts w:ascii="宋体" w:eastAsia="宋体" w:hAnsi="宋体"/>
                <w:sz w:val="24"/>
                <w:szCs w:val="28"/>
              </w:rPr>
            </w:pPr>
            <w:r>
              <w:rPr>
                <w:rFonts w:ascii="宋体" w:eastAsia="宋体" w:hAnsi="宋体" w:hint="eastAsia"/>
                <w:sz w:val="24"/>
                <w:szCs w:val="28"/>
              </w:rPr>
              <w:t>2.2.4文献评述</w:t>
            </w:r>
          </w:p>
          <w:p w14:paraId="3431430C" w14:textId="77777777" w:rsidR="00004E1B" w:rsidRPr="00813571" w:rsidRDefault="00004E1B" w:rsidP="00004E1B">
            <w:pPr>
              <w:rPr>
                <w:rFonts w:ascii="宋体" w:eastAsia="宋体" w:hAnsi="宋体"/>
                <w:sz w:val="24"/>
                <w:szCs w:val="28"/>
              </w:rPr>
            </w:pPr>
          </w:p>
          <w:p w14:paraId="794686C6" w14:textId="2CE53485"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第三章 研究理论与假设</w:t>
            </w:r>
          </w:p>
          <w:p w14:paraId="21AD65AC" w14:textId="5F04A1C1" w:rsidR="00004E1B" w:rsidRDefault="00004E1B" w:rsidP="00004E1B">
            <w:pPr>
              <w:rPr>
                <w:rFonts w:ascii="宋体" w:eastAsia="宋体" w:hAnsi="宋体"/>
                <w:sz w:val="24"/>
                <w:szCs w:val="28"/>
              </w:rPr>
            </w:pPr>
            <w:r w:rsidRPr="00813571">
              <w:rPr>
                <w:rFonts w:ascii="宋体" w:eastAsia="宋体" w:hAnsi="宋体" w:hint="eastAsia"/>
                <w:sz w:val="24"/>
                <w:szCs w:val="28"/>
              </w:rPr>
              <w:t>3.1理论基础</w:t>
            </w:r>
          </w:p>
          <w:p w14:paraId="4FBE45F3" w14:textId="0D6A26EE" w:rsidR="004F3002" w:rsidRDefault="004F3002" w:rsidP="00004E1B">
            <w:pPr>
              <w:rPr>
                <w:rFonts w:ascii="宋体" w:eastAsia="宋体" w:hAnsi="宋体"/>
                <w:sz w:val="24"/>
                <w:szCs w:val="28"/>
              </w:rPr>
            </w:pPr>
            <w:r>
              <w:rPr>
                <w:rFonts w:ascii="宋体" w:eastAsia="宋体" w:hAnsi="宋体" w:hint="eastAsia"/>
                <w:sz w:val="24"/>
                <w:szCs w:val="28"/>
              </w:rPr>
              <w:t>3.1.1委托代理理论</w:t>
            </w:r>
          </w:p>
          <w:p w14:paraId="3C642A37" w14:textId="6872889F" w:rsidR="004F3002" w:rsidRDefault="004F3002" w:rsidP="00004E1B">
            <w:pPr>
              <w:rPr>
                <w:rFonts w:ascii="宋体" w:eastAsia="宋体" w:hAnsi="宋体"/>
                <w:sz w:val="24"/>
                <w:szCs w:val="28"/>
              </w:rPr>
            </w:pPr>
            <w:r>
              <w:rPr>
                <w:rFonts w:ascii="宋体" w:eastAsia="宋体" w:hAnsi="宋体" w:hint="eastAsia"/>
                <w:sz w:val="24"/>
                <w:szCs w:val="28"/>
              </w:rPr>
              <w:t>3.1.2契约理论</w:t>
            </w:r>
          </w:p>
          <w:p w14:paraId="0CF029E9" w14:textId="62E72B01" w:rsidR="004F3002" w:rsidRDefault="004F3002" w:rsidP="00004E1B">
            <w:pPr>
              <w:rPr>
                <w:rFonts w:ascii="宋体" w:eastAsia="宋体" w:hAnsi="宋体"/>
                <w:sz w:val="24"/>
                <w:szCs w:val="28"/>
              </w:rPr>
            </w:pPr>
            <w:r>
              <w:rPr>
                <w:rFonts w:ascii="宋体" w:eastAsia="宋体" w:hAnsi="宋体" w:hint="eastAsia"/>
                <w:sz w:val="24"/>
                <w:szCs w:val="28"/>
              </w:rPr>
              <w:t>3.1.3信号传递理论</w:t>
            </w:r>
          </w:p>
          <w:p w14:paraId="5969A605" w14:textId="6E244C22" w:rsidR="004F3002" w:rsidRPr="00813571" w:rsidRDefault="004F3002" w:rsidP="00004E1B">
            <w:pPr>
              <w:rPr>
                <w:rFonts w:ascii="宋体" w:eastAsia="宋体" w:hAnsi="宋体"/>
                <w:sz w:val="24"/>
                <w:szCs w:val="28"/>
              </w:rPr>
            </w:pPr>
            <w:r>
              <w:rPr>
                <w:rFonts w:ascii="宋体" w:eastAsia="宋体" w:hAnsi="宋体" w:hint="eastAsia"/>
                <w:sz w:val="24"/>
                <w:szCs w:val="28"/>
              </w:rPr>
              <w:t>3.1.4行为金融学理论</w:t>
            </w:r>
          </w:p>
          <w:p w14:paraId="524A8C72" w14:textId="2078AE17"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3.2研究假设</w:t>
            </w:r>
          </w:p>
          <w:p w14:paraId="720A00E1" w14:textId="0907B5C7" w:rsidR="00004E1B" w:rsidRDefault="004F3002" w:rsidP="00004E1B">
            <w:pPr>
              <w:rPr>
                <w:rFonts w:ascii="宋体" w:eastAsia="宋体" w:hAnsi="宋体"/>
                <w:sz w:val="24"/>
                <w:szCs w:val="28"/>
              </w:rPr>
            </w:pPr>
            <w:r>
              <w:rPr>
                <w:rFonts w:ascii="宋体" w:eastAsia="宋体" w:hAnsi="宋体" w:hint="eastAsia"/>
                <w:sz w:val="24"/>
                <w:szCs w:val="28"/>
              </w:rPr>
              <w:t>3.2.1企业战略与盈余管理</w:t>
            </w:r>
          </w:p>
          <w:p w14:paraId="07D55B9A" w14:textId="59A5722A" w:rsidR="004F3002" w:rsidRDefault="004F3002" w:rsidP="00004E1B">
            <w:pPr>
              <w:rPr>
                <w:rFonts w:ascii="宋体" w:eastAsia="宋体" w:hAnsi="宋体"/>
                <w:sz w:val="24"/>
                <w:szCs w:val="28"/>
              </w:rPr>
            </w:pPr>
            <w:r>
              <w:rPr>
                <w:rFonts w:ascii="宋体" w:eastAsia="宋体" w:hAnsi="宋体" w:hint="eastAsia"/>
                <w:sz w:val="24"/>
                <w:szCs w:val="28"/>
              </w:rPr>
              <w:t>3.2.2产权性质、企业战略与盈余管理</w:t>
            </w:r>
          </w:p>
          <w:p w14:paraId="3B1993F8" w14:textId="4CC0AB7E" w:rsidR="004F3002" w:rsidRDefault="004F3002" w:rsidP="00004E1B">
            <w:pPr>
              <w:rPr>
                <w:rFonts w:ascii="宋体" w:eastAsia="宋体" w:hAnsi="宋体"/>
                <w:sz w:val="24"/>
                <w:szCs w:val="28"/>
              </w:rPr>
            </w:pPr>
            <w:r>
              <w:rPr>
                <w:rFonts w:ascii="宋体" w:eastAsia="宋体" w:hAnsi="宋体" w:hint="eastAsia"/>
                <w:sz w:val="24"/>
                <w:szCs w:val="28"/>
              </w:rPr>
              <w:t>3.2.3股权集中度、企业战略与盈余管理</w:t>
            </w:r>
          </w:p>
          <w:p w14:paraId="167FE64E" w14:textId="6647A0EF" w:rsidR="004F3002" w:rsidRPr="00813571" w:rsidRDefault="004F3002" w:rsidP="00004E1B">
            <w:pPr>
              <w:rPr>
                <w:rFonts w:ascii="宋体" w:eastAsia="宋体" w:hAnsi="宋体"/>
                <w:sz w:val="24"/>
                <w:szCs w:val="28"/>
              </w:rPr>
            </w:pPr>
            <w:r>
              <w:rPr>
                <w:rFonts w:ascii="宋体" w:eastAsia="宋体" w:hAnsi="宋体" w:hint="eastAsia"/>
                <w:sz w:val="24"/>
                <w:szCs w:val="28"/>
              </w:rPr>
              <w:t>3.2.4市场化水平、企业战略与盈余管理</w:t>
            </w:r>
          </w:p>
          <w:p w14:paraId="4940B5D2" w14:textId="77777777" w:rsidR="004F3002" w:rsidRDefault="004F3002" w:rsidP="00004E1B">
            <w:pPr>
              <w:rPr>
                <w:rFonts w:ascii="宋体" w:eastAsia="宋体" w:hAnsi="宋体"/>
                <w:sz w:val="24"/>
                <w:szCs w:val="28"/>
              </w:rPr>
            </w:pPr>
          </w:p>
          <w:p w14:paraId="29E0DD71" w14:textId="64F5EAE1"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第四章 研究设计</w:t>
            </w:r>
          </w:p>
          <w:p w14:paraId="329BFC3D" w14:textId="528C0B56" w:rsidR="00004E1B" w:rsidRDefault="00004E1B" w:rsidP="00004E1B">
            <w:pPr>
              <w:rPr>
                <w:rFonts w:ascii="宋体" w:eastAsia="宋体" w:hAnsi="宋体"/>
                <w:sz w:val="24"/>
                <w:szCs w:val="28"/>
              </w:rPr>
            </w:pPr>
            <w:r w:rsidRPr="00813571">
              <w:rPr>
                <w:rFonts w:ascii="宋体" w:eastAsia="宋体" w:hAnsi="宋体" w:hint="eastAsia"/>
                <w:sz w:val="24"/>
                <w:szCs w:val="28"/>
              </w:rPr>
              <w:t>4.1数据选取与处理</w:t>
            </w:r>
          </w:p>
          <w:p w14:paraId="619BB81C" w14:textId="75C131C7" w:rsidR="004F3002" w:rsidRDefault="004F3002" w:rsidP="00004E1B">
            <w:pPr>
              <w:rPr>
                <w:rFonts w:ascii="宋体" w:eastAsia="宋体" w:hAnsi="宋体"/>
                <w:sz w:val="24"/>
                <w:szCs w:val="28"/>
              </w:rPr>
            </w:pPr>
            <w:r>
              <w:rPr>
                <w:rFonts w:ascii="宋体" w:eastAsia="宋体" w:hAnsi="宋体" w:hint="eastAsia"/>
                <w:sz w:val="24"/>
                <w:szCs w:val="28"/>
              </w:rPr>
              <w:t>4.1.1数据选取的原则</w:t>
            </w:r>
          </w:p>
          <w:p w14:paraId="0F9F8486" w14:textId="2706391F" w:rsidR="004F3002" w:rsidRPr="00813571" w:rsidRDefault="004F3002" w:rsidP="00004E1B">
            <w:pPr>
              <w:rPr>
                <w:rFonts w:ascii="宋体" w:eastAsia="宋体" w:hAnsi="宋体"/>
                <w:sz w:val="24"/>
                <w:szCs w:val="28"/>
              </w:rPr>
            </w:pPr>
            <w:r>
              <w:rPr>
                <w:rFonts w:ascii="宋体" w:eastAsia="宋体" w:hAnsi="宋体" w:hint="eastAsia"/>
                <w:sz w:val="24"/>
                <w:szCs w:val="28"/>
              </w:rPr>
              <w:t>4.1.2数据处理</w:t>
            </w:r>
          </w:p>
          <w:p w14:paraId="76F92A73" w14:textId="34CA2E08" w:rsidR="00004E1B" w:rsidRDefault="00004E1B" w:rsidP="00004E1B">
            <w:pPr>
              <w:rPr>
                <w:rFonts w:ascii="宋体" w:eastAsia="宋体" w:hAnsi="宋体"/>
                <w:sz w:val="24"/>
                <w:szCs w:val="28"/>
              </w:rPr>
            </w:pPr>
            <w:r w:rsidRPr="00813571">
              <w:rPr>
                <w:rFonts w:ascii="宋体" w:eastAsia="宋体" w:hAnsi="宋体" w:hint="eastAsia"/>
                <w:sz w:val="24"/>
                <w:szCs w:val="28"/>
              </w:rPr>
              <w:t>4.2变量的定义</w:t>
            </w:r>
          </w:p>
          <w:p w14:paraId="4B54C598" w14:textId="373147CB" w:rsidR="004F3002" w:rsidRDefault="004F3002" w:rsidP="00004E1B">
            <w:pPr>
              <w:rPr>
                <w:rFonts w:ascii="宋体" w:eastAsia="宋体" w:hAnsi="宋体"/>
                <w:sz w:val="24"/>
                <w:szCs w:val="28"/>
              </w:rPr>
            </w:pPr>
            <w:r>
              <w:rPr>
                <w:rFonts w:ascii="宋体" w:eastAsia="宋体" w:hAnsi="宋体" w:hint="eastAsia"/>
                <w:sz w:val="24"/>
                <w:szCs w:val="28"/>
              </w:rPr>
              <w:t>4.2.1被解释变量</w:t>
            </w:r>
          </w:p>
          <w:p w14:paraId="789BF635" w14:textId="378A085A" w:rsidR="004F3002" w:rsidRDefault="004F3002" w:rsidP="00004E1B">
            <w:pPr>
              <w:rPr>
                <w:rFonts w:ascii="宋体" w:eastAsia="宋体" w:hAnsi="宋体"/>
                <w:sz w:val="24"/>
                <w:szCs w:val="28"/>
              </w:rPr>
            </w:pPr>
            <w:r>
              <w:rPr>
                <w:rFonts w:ascii="宋体" w:eastAsia="宋体" w:hAnsi="宋体" w:hint="eastAsia"/>
                <w:sz w:val="24"/>
                <w:szCs w:val="28"/>
              </w:rPr>
              <w:t>4.2.2解释变量</w:t>
            </w:r>
          </w:p>
          <w:p w14:paraId="456F46ED" w14:textId="0AED5A5C" w:rsidR="004F3002" w:rsidRPr="00813571" w:rsidRDefault="004F3002" w:rsidP="00004E1B">
            <w:pPr>
              <w:rPr>
                <w:rFonts w:ascii="宋体" w:eastAsia="宋体" w:hAnsi="宋体"/>
                <w:sz w:val="24"/>
                <w:szCs w:val="28"/>
              </w:rPr>
            </w:pPr>
            <w:r>
              <w:rPr>
                <w:rFonts w:ascii="宋体" w:eastAsia="宋体" w:hAnsi="宋体" w:hint="eastAsia"/>
                <w:sz w:val="24"/>
                <w:szCs w:val="28"/>
              </w:rPr>
              <w:t>4.2.3控制变量</w:t>
            </w:r>
          </w:p>
          <w:p w14:paraId="401D9E1D" w14:textId="5566A0F4"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4.3模型的构建</w:t>
            </w:r>
          </w:p>
          <w:p w14:paraId="52A3F2F6" w14:textId="77777777" w:rsidR="00004E1B" w:rsidRPr="00813571" w:rsidRDefault="00004E1B" w:rsidP="00004E1B">
            <w:pPr>
              <w:rPr>
                <w:rFonts w:ascii="宋体" w:eastAsia="宋体" w:hAnsi="宋体"/>
                <w:sz w:val="24"/>
                <w:szCs w:val="28"/>
              </w:rPr>
            </w:pPr>
          </w:p>
          <w:p w14:paraId="4B4799B9" w14:textId="5D39951E"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第五章 实证结果分析</w:t>
            </w:r>
          </w:p>
          <w:p w14:paraId="14E12A39" w14:textId="4EB030C5" w:rsidR="00004E1B" w:rsidRDefault="00004E1B" w:rsidP="00004E1B">
            <w:pPr>
              <w:rPr>
                <w:rFonts w:ascii="宋体" w:eastAsia="宋体" w:hAnsi="宋体"/>
                <w:sz w:val="24"/>
                <w:szCs w:val="28"/>
              </w:rPr>
            </w:pPr>
            <w:r w:rsidRPr="00813571">
              <w:rPr>
                <w:rFonts w:ascii="宋体" w:eastAsia="宋体" w:hAnsi="宋体" w:hint="eastAsia"/>
                <w:sz w:val="24"/>
                <w:szCs w:val="28"/>
              </w:rPr>
              <w:lastRenderedPageBreak/>
              <w:t>5.1描述性统计与相关性分析</w:t>
            </w:r>
          </w:p>
          <w:p w14:paraId="584BDBFE" w14:textId="7673F7E6" w:rsidR="004F3002" w:rsidRDefault="004F3002" w:rsidP="00004E1B">
            <w:pPr>
              <w:rPr>
                <w:rFonts w:ascii="宋体" w:eastAsia="宋体" w:hAnsi="宋体"/>
                <w:sz w:val="24"/>
                <w:szCs w:val="28"/>
              </w:rPr>
            </w:pPr>
            <w:r>
              <w:rPr>
                <w:rFonts w:ascii="宋体" w:eastAsia="宋体" w:hAnsi="宋体" w:hint="eastAsia"/>
                <w:sz w:val="24"/>
                <w:szCs w:val="28"/>
              </w:rPr>
              <w:t>5.1.1描述性统计</w:t>
            </w:r>
          </w:p>
          <w:p w14:paraId="59FA257E" w14:textId="6868D8F0" w:rsidR="004F3002" w:rsidRPr="00813571" w:rsidRDefault="004F3002" w:rsidP="00004E1B">
            <w:pPr>
              <w:rPr>
                <w:rFonts w:ascii="宋体" w:eastAsia="宋体" w:hAnsi="宋体"/>
                <w:sz w:val="24"/>
                <w:szCs w:val="28"/>
              </w:rPr>
            </w:pPr>
            <w:r>
              <w:rPr>
                <w:rFonts w:ascii="宋体" w:eastAsia="宋体" w:hAnsi="宋体" w:hint="eastAsia"/>
                <w:sz w:val="24"/>
                <w:szCs w:val="28"/>
              </w:rPr>
              <w:t>5.1.2相关性检验</w:t>
            </w:r>
          </w:p>
          <w:p w14:paraId="176579B8" w14:textId="19575F35" w:rsidR="00004E1B" w:rsidRDefault="00004E1B" w:rsidP="00004E1B">
            <w:pPr>
              <w:rPr>
                <w:rFonts w:ascii="宋体" w:eastAsia="宋体" w:hAnsi="宋体"/>
                <w:sz w:val="24"/>
                <w:szCs w:val="28"/>
              </w:rPr>
            </w:pPr>
            <w:r w:rsidRPr="00813571">
              <w:rPr>
                <w:rFonts w:ascii="宋体" w:eastAsia="宋体" w:hAnsi="宋体" w:hint="eastAsia"/>
                <w:sz w:val="24"/>
                <w:szCs w:val="28"/>
              </w:rPr>
              <w:t>5.2企业战略对于融资约束的影响</w:t>
            </w:r>
          </w:p>
          <w:p w14:paraId="47EC3CEF" w14:textId="07C0C09F" w:rsidR="004F3002" w:rsidRDefault="004F3002" w:rsidP="00004E1B">
            <w:pPr>
              <w:rPr>
                <w:rFonts w:ascii="宋体" w:eastAsia="宋体" w:hAnsi="宋体"/>
                <w:sz w:val="24"/>
                <w:szCs w:val="28"/>
              </w:rPr>
            </w:pPr>
            <w:r>
              <w:rPr>
                <w:rFonts w:ascii="宋体" w:eastAsia="宋体" w:hAnsi="宋体" w:hint="eastAsia"/>
                <w:sz w:val="24"/>
                <w:szCs w:val="28"/>
              </w:rPr>
              <w:t>5</w:t>
            </w:r>
            <w:r>
              <w:rPr>
                <w:rFonts w:ascii="宋体" w:eastAsia="宋体" w:hAnsi="宋体"/>
                <w:sz w:val="24"/>
                <w:szCs w:val="28"/>
              </w:rPr>
              <w:t>.2.1</w:t>
            </w:r>
            <w:r>
              <w:rPr>
                <w:rFonts w:ascii="宋体" w:eastAsia="宋体" w:hAnsi="宋体" w:hint="eastAsia"/>
                <w:sz w:val="24"/>
                <w:szCs w:val="28"/>
              </w:rPr>
              <w:t>基于G</w:t>
            </w:r>
            <w:r w:rsidR="007367F4">
              <w:rPr>
                <w:rFonts w:ascii="宋体" w:eastAsia="宋体" w:hAnsi="宋体"/>
                <w:sz w:val="24"/>
                <w:szCs w:val="28"/>
              </w:rPr>
              <w:t>M</w:t>
            </w:r>
            <w:r>
              <w:rPr>
                <w:rFonts w:ascii="宋体" w:eastAsia="宋体" w:hAnsi="宋体"/>
                <w:sz w:val="24"/>
                <w:szCs w:val="28"/>
              </w:rPr>
              <w:t>M</w:t>
            </w:r>
            <w:r>
              <w:rPr>
                <w:rFonts w:ascii="宋体" w:eastAsia="宋体" w:hAnsi="宋体" w:hint="eastAsia"/>
                <w:sz w:val="24"/>
                <w:szCs w:val="28"/>
              </w:rPr>
              <w:t>企业战略对于盈余管理的基准回归</w:t>
            </w:r>
          </w:p>
          <w:p w14:paraId="55E87F1C" w14:textId="2071FFC0" w:rsidR="004F3002" w:rsidRPr="00813571" w:rsidRDefault="004F3002" w:rsidP="00004E1B">
            <w:pPr>
              <w:rPr>
                <w:rFonts w:ascii="宋体" w:eastAsia="宋体" w:hAnsi="宋体"/>
                <w:sz w:val="24"/>
                <w:szCs w:val="28"/>
              </w:rPr>
            </w:pPr>
            <w:r>
              <w:rPr>
                <w:rFonts w:ascii="宋体" w:eastAsia="宋体" w:hAnsi="宋体" w:hint="eastAsia"/>
                <w:sz w:val="24"/>
                <w:szCs w:val="28"/>
              </w:rPr>
              <w:t>5.2.2基于门槛效应的企业战略对于盈余管理的影响实证</w:t>
            </w:r>
          </w:p>
          <w:p w14:paraId="75EF75E5" w14:textId="506D1D0D" w:rsidR="00004E1B" w:rsidRDefault="00004E1B" w:rsidP="00004E1B">
            <w:pPr>
              <w:rPr>
                <w:rFonts w:ascii="宋体" w:eastAsia="宋体" w:hAnsi="宋体"/>
                <w:sz w:val="24"/>
                <w:szCs w:val="28"/>
              </w:rPr>
            </w:pPr>
            <w:r w:rsidRPr="00813571">
              <w:rPr>
                <w:rFonts w:ascii="宋体" w:eastAsia="宋体" w:hAnsi="宋体" w:hint="eastAsia"/>
                <w:sz w:val="24"/>
                <w:szCs w:val="28"/>
              </w:rPr>
              <w:t>5.3异质性检验</w:t>
            </w:r>
          </w:p>
          <w:p w14:paraId="05005AF6" w14:textId="5EAC14EF" w:rsidR="004F3002" w:rsidRDefault="004F3002" w:rsidP="00004E1B">
            <w:pPr>
              <w:rPr>
                <w:rFonts w:ascii="宋体" w:eastAsia="宋体" w:hAnsi="宋体"/>
                <w:sz w:val="24"/>
                <w:szCs w:val="28"/>
              </w:rPr>
            </w:pPr>
            <w:r>
              <w:rPr>
                <w:rFonts w:ascii="宋体" w:eastAsia="宋体" w:hAnsi="宋体" w:hint="eastAsia"/>
                <w:sz w:val="24"/>
                <w:szCs w:val="28"/>
              </w:rPr>
              <w:t>5.3.1产权性质、企业战略与盈余管理</w:t>
            </w:r>
          </w:p>
          <w:p w14:paraId="0AABF8DB" w14:textId="6861B905" w:rsidR="004F3002" w:rsidRDefault="004F3002" w:rsidP="00004E1B">
            <w:pPr>
              <w:rPr>
                <w:rFonts w:ascii="宋体" w:eastAsia="宋体" w:hAnsi="宋体"/>
                <w:sz w:val="24"/>
                <w:szCs w:val="28"/>
              </w:rPr>
            </w:pPr>
            <w:r>
              <w:rPr>
                <w:rFonts w:ascii="宋体" w:eastAsia="宋体" w:hAnsi="宋体" w:hint="eastAsia"/>
                <w:sz w:val="24"/>
                <w:szCs w:val="28"/>
              </w:rPr>
              <w:t>5.3.2行业性质、企业战略与盈余管理</w:t>
            </w:r>
          </w:p>
          <w:p w14:paraId="0803D541" w14:textId="3E1418A3" w:rsidR="004F3002" w:rsidRDefault="004F3002" w:rsidP="00004E1B">
            <w:pPr>
              <w:rPr>
                <w:rFonts w:ascii="宋体" w:eastAsia="宋体" w:hAnsi="宋体"/>
                <w:sz w:val="24"/>
                <w:szCs w:val="28"/>
              </w:rPr>
            </w:pPr>
            <w:r>
              <w:rPr>
                <w:rFonts w:ascii="宋体" w:eastAsia="宋体" w:hAnsi="宋体" w:hint="eastAsia"/>
                <w:sz w:val="24"/>
                <w:szCs w:val="28"/>
              </w:rPr>
              <w:t>5.3.3制度约束、企业战略与盈余管理</w:t>
            </w:r>
          </w:p>
          <w:p w14:paraId="24020A98" w14:textId="3678E505" w:rsidR="004F3002" w:rsidRPr="00813571" w:rsidRDefault="004F3002" w:rsidP="00004E1B">
            <w:pPr>
              <w:rPr>
                <w:rFonts w:ascii="宋体" w:eastAsia="宋体" w:hAnsi="宋体"/>
                <w:sz w:val="24"/>
                <w:szCs w:val="28"/>
              </w:rPr>
            </w:pPr>
            <w:r>
              <w:rPr>
                <w:rFonts w:ascii="宋体" w:eastAsia="宋体" w:hAnsi="宋体" w:hint="eastAsia"/>
                <w:sz w:val="24"/>
                <w:szCs w:val="28"/>
              </w:rPr>
              <w:t>5.3.4市场化程度、企业战略与盈余管理</w:t>
            </w:r>
          </w:p>
          <w:p w14:paraId="2FB9CF6D" w14:textId="5A8B5B67" w:rsidR="00004E1B" w:rsidRDefault="00004E1B" w:rsidP="00004E1B">
            <w:pPr>
              <w:rPr>
                <w:rFonts w:ascii="宋体" w:eastAsia="宋体" w:hAnsi="宋体"/>
                <w:sz w:val="24"/>
                <w:szCs w:val="28"/>
              </w:rPr>
            </w:pPr>
            <w:r w:rsidRPr="00813571">
              <w:rPr>
                <w:rFonts w:ascii="宋体" w:eastAsia="宋体" w:hAnsi="宋体" w:hint="eastAsia"/>
                <w:sz w:val="24"/>
                <w:szCs w:val="28"/>
              </w:rPr>
              <w:t>5.4稳健性检验与内生性检验</w:t>
            </w:r>
          </w:p>
          <w:p w14:paraId="2F3E5CAE" w14:textId="2CB3533E" w:rsidR="00BA1D01" w:rsidRDefault="00BA1D01" w:rsidP="00004E1B">
            <w:pPr>
              <w:rPr>
                <w:rFonts w:ascii="宋体" w:eastAsia="宋体" w:hAnsi="宋体"/>
                <w:sz w:val="24"/>
                <w:szCs w:val="28"/>
              </w:rPr>
            </w:pPr>
            <w:r>
              <w:rPr>
                <w:rFonts w:ascii="宋体" w:eastAsia="宋体" w:hAnsi="宋体" w:hint="eastAsia"/>
                <w:sz w:val="24"/>
                <w:szCs w:val="28"/>
              </w:rPr>
              <w:t>5.4.1稳健性检验</w:t>
            </w:r>
          </w:p>
          <w:p w14:paraId="768D4F08" w14:textId="757ADC5D" w:rsidR="00BA1D01" w:rsidRDefault="00BA1D01" w:rsidP="00004E1B">
            <w:pPr>
              <w:rPr>
                <w:rFonts w:ascii="宋体" w:eastAsia="宋体" w:hAnsi="宋体"/>
                <w:sz w:val="24"/>
                <w:szCs w:val="28"/>
              </w:rPr>
            </w:pPr>
            <w:r>
              <w:rPr>
                <w:rFonts w:ascii="宋体" w:eastAsia="宋体" w:hAnsi="宋体" w:hint="eastAsia"/>
                <w:sz w:val="24"/>
                <w:szCs w:val="28"/>
              </w:rPr>
              <w:t>5.4.2内生性检验</w:t>
            </w:r>
          </w:p>
          <w:p w14:paraId="0564E249" w14:textId="311FD465" w:rsidR="00BA1D01" w:rsidRDefault="00BA1D01" w:rsidP="00004E1B">
            <w:pPr>
              <w:rPr>
                <w:rFonts w:ascii="宋体" w:eastAsia="宋体" w:hAnsi="宋体"/>
                <w:sz w:val="24"/>
                <w:szCs w:val="28"/>
              </w:rPr>
            </w:pPr>
            <w:r>
              <w:rPr>
                <w:rFonts w:ascii="宋体" w:eastAsia="宋体" w:hAnsi="宋体" w:hint="eastAsia"/>
                <w:sz w:val="24"/>
                <w:szCs w:val="28"/>
              </w:rPr>
              <w:t>5.4.3平行趋势检验</w:t>
            </w:r>
          </w:p>
          <w:p w14:paraId="2D24010E" w14:textId="519511E7" w:rsidR="00BA1D01" w:rsidRPr="00813571" w:rsidRDefault="00BA1D01" w:rsidP="00004E1B">
            <w:pPr>
              <w:rPr>
                <w:rFonts w:ascii="宋体" w:eastAsia="宋体" w:hAnsi="宋体"/>
                <w:sz w:val="24"/>
                <w:szCs w:val="28"/>
              </w:rPr>
            </w:pPr>
            <w:r>
              <w:rPr>
                <w:rFonts w:ascii="宋体" w:eastAsia="宋体" w:hAnsi="宋体" w:hint="eastAsia"/>
                <w:sz w:val="24"/>
                <w:szCs w:val="28"/>
              </w:rPr>
              <w:t>5.4.4安慰剂检验</w:t>
            </w:r>
          </w:p>
          <w:p w14:paraId="02E79382" w14:textId="5EDCA667" w:rsidR="00004E1B" w:rsidRDefault="00004E1B" w:rsidP="00004E1B">
            <w:pPr>
              <w:rPr>
                <w:rFonts w:ascii="宋体" w:eastAsia="宋体" w:hAnsi="宋体"/>
                <w:sz w:val="24"/>
                <w:szCs w:val="28"/>
              </w:rPr>
            </w:pPr>
            <w:r w:rsidRPr="00813571">
              <w:rPr>
                <w:rFonts w:ascii="宋体" w:eastAsia="宋体" w:hAnsi="宋体" w:hint="eastAsia"/>
                <w:sz w:val="24"/>
                <w:szCs w:val="28"/>
              </w:rPr>
              <w:t>5.5影响路径机制分析</w:t>
            </w:r>
          </w:p>
          <w:p w14:paraId="51E8B54D" w14:textId="6A3E491D" w:rsidR="00BA1D01" w:rsidRDefault="00BA1D01" w:rsidP="00004E1B">
            <w:pPr>
              <w:rPr>
                <w:rFonts w:ascii="宋体" w:eastAsia="宋体" w:hAnsi="宋体"/>
                <w:sz w:val="24"/>
                <w:szCs w:val="28"/>
              </w:rPr>
            </w:pPr>
            <w:r>
              <w:rPr>
                <w:rFonts w:ascii="宋体" w:eastAsia="宋体" w:hAnsi="宋体" w:hint="eastAsia"/>
                <w:sz w:val="24"/>
                <w:szCs w:val="28"/>
              </w:rPr>
              <w:t>5.5.1影响路径分析</w:t>
            </w:r>
          </w:p>
          <w:p w14:paraId="7287D112" w14:textId="356D5BCA" w:rsidR="00BA1D01" w:rsidRPr="00813571" w:rsidRDefault="00BA1D01" w:rsidP="00004E1B">
            <w:pPr>
              <w:rPr>
                <w:rFonts w:ascii="宋体" w:eastAsia="宋体" w:hAnsi="宋体"/>
                <w:sz w:val="24"/>
                <w:szCs w:val="28"/>
              </w:rPr>
            </w:pPr>
            <w:r>
              <w:rPr>
                <w:rFonts w:ascii="宋体" w:eastAsia="宋体" w:hAnsi="宋体" w:hint="eastAsia"/>
                <w:sz w:val="24"/>
                <w:szCs w:val="28"/>
              </w:rPr>
              <w:t>5.5.2机制检验</w:t>
            </w:r>
          </w:p>
          <w:p w14:paraId="3AA7C776" w14:textId="77777777" w:rsidR="00004E1B" w:rsidRPr="00813571" w:rsidRDefault="00004E1B" w:rsidP="00004E1B">
            <w:pPr>
              <w:rPr>
                <w:rFonts w:ascii="宋体" w:eastAsia="宋体" w:hAnsi="宋体"/>
                <w:sz w:val="24"/>
                <w:szCs w:val="28"/>
              </w:rPr>
            </w:pPr>
          </w:p>
          <w:p w14:paraId="498B9483" w14:textId="0AF09BB8"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第六章 结论与建议</w:t>
            </w:r>
          </w:p>
          <w:p w14:paraId="0ACD2EFC" w14:textId="4B92A235"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6.1研究结论</w:t>
            </w:r>
          </w:p>
          <w:p w14:paraId="7C903CFB" w14:textId="5365A637" w:rsidR="00004E1B" w:rsidRPr="00813571" w:rsidRDefault="00004E1B" w:rsidP="00004E1B">
            <w:pPr>
              <w:rPr>
                <w:rFonts w:ascii="宋体" w:eastAsia="宋体" w:hAnsi="宋体"/>
                <w:sz w:val="24"/>
                <w:szCs w:val="28"/>
              </w:rPr>
            </w:pPr>
            <w:r w:rsidRPr="00813571">
              <w:rPr>
                <w:rFonts w:ascii="宋体" w:eastAsia="宋体" w:hAnsi="宋体" w:hint="eastAsia"/>
                <w:sz w:val="24"/>
                <w:szCs w:val="28"/>
              </w:rPr>
              <w:t>6.2对策建议</w:t>
            </w:r>
          </w:p>
          <w:p w14:paraId="4480554E" w14:textId="77777777" w:rsidR="00004E1B" w:rsidRPr="00813571" w:rsidRDefault="00004E1B" w:rsidP="00004E1B">
            <w:pPr>
              <w:rPr>
                <w:rFonts w:ascii="宋体" w:eastAsia="宋体" w:hAnsi="宋体"/>
                <w:sz w:val="24"/>
              </w:rPr>
            </w:pPr>
          </w:p>
        </w:tc>
      </w:tr>
      <w:tr w:rsidR="00004E1B" w14:paraId="59D574EA" w14:textId="77777777" w:rsidTr="005525FA">
        <w:trPr>
          <w:trHeight w:val="2683"/>
          <w:jc w:val="center"/>
        </w:trPr>
        <w:tc>
          <w:tcPr>
            <w:tcW w:w="2362" w:type="dxa"/>
            <w:vAlign w:val="center"/>
          </w:tcPr>
          <w:p w14:paraId="0A9E67C8" w14:textId="77777777" w:rsidR="00004E1B" w:rsidRDefault="00004E1B" w:rsidP="00004E1B">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16CB7791" w14:textId="77777777" w:rsidR="00004E1B" w:rsidRDefault="00004E1B" w:rsidP="00004E1B">
            <w:pPr>
              <w:pStyle w:val="Bodytext1"/>
              <w:spacing w:line="276" w:lineRule="auto"/>
              <w:ind w:firstLine="0"/>
              <w:jc w:val="left"/>
              <w:rPr>
                <w:rFonts w:eastAsia="PMingLiU"/>
                <w:color w:val="000000"/>
                <w:lang w:val="en-US"/>
              </w:rPr>
            </w:pPr>
            <w:r w:rsidRPr="00813571">
              <w:rPr>
                <w:rFonts w:hint="eastAsia"/>
                <w:color w:val="000000"/>
                <w:lang w:val="en-US"/>
              </w:rPr>
              <w:t>参考文献：</w:t>
            </w:r>
          </w:p>
          <w:p w14:paraId="57C1B28B" w14:textId="05C2B6D1"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rPr>
              <w:t>[</w:t>
            </w:r>
            <w:proofErr w:type="gramStart"/>
            <w:r w:rsidRPr="00A95529">
              <w:rPr>
                <w:rFonts w:ascii="Times New Roman" w:hAnsi="Times New Roman" w:cs="Times New Roman"/>
                <w:color w:val="000000"/>
                <w:sz w:val="24"/>
                <w:szCs w:val="24"/>
                <w:lang w:val="en-US"/>
              </w:rPr>
              <w:t>1]Chen</w:t>
            </w:r>
            <w:proofErr w:type="gramEnd"/>
            <w:r w:rsidRPr="00A95529">
              <w:rPr>
                <w:rFonts w:ascii="Times New Roman" w:hAnsi="Times New Roman" w:cs="Times New Roman"/>
                <w:color w:val="000000"/>
                <w:sz w:val="24"/>
                <w:szCs w:val="24"/>
                <w:lang w:val="en-US"/>
              </w:rPr>
              <w:t xml:space="preserve"> C R, Steiner T L. Managerial ownership and agency conflicts: A nonlinear simultaneous equation analysis of managerial ownership, risk taking, debt policy,</w:t>
            </w:r>
            <w:r>
              <w:rPr>
                <w:rFonts w:ascii="Times New Roman" w:hAnsi="Times New Roman" w:cs="Times New Roman"/>
                <w:color w:val="000000"/>
                <w:sz w:val="24"/>
                <w:szCs w:val="24"/>
                <w:lang w:val="en-US"/>
              </w:rPr>
              <w:t xml:space="preserve"> </w:t>
            </w:r>
            <w:r w:rsidRPr="00A95529">
              <w:rPr>
                <w:rFonts w:ascii="Times New Roman" w:hAnsi="Times New Roman" w:cs="Times New Roman"/>
                <w:color w:val="000000"/>
                <w:sz w:val="24"/>
                <w:szCs w:val="24"/>
                <w:lang w:val="en-US"/>
              </w:rPr>
              <w:t xml:space="preserve">and dividend policy[J]. </w:t>
            </w:r>
            <w:r w:rsidRPr="00A95529">
              <w:rPr>
                <w:rFonts w:ascii="Times New Roman" w:hAnsi="Times New Roman" w:cs="Times New Roman"/>
                <w:color w:val="000000"/>
                <w:sz w:val="24"/>
                <w:szCs w:val="24"/>
                <w:lang w:val="en-US" w:eastAsia="zh-CN"/>
              </w:rPr>
              <w:t>Financial Review, 1999, 34(1): 119-136</w:t>
            </w:r>
            <w:r>
              <w:rPr>
                <w:rFonts w:ascii="Times New Roman" w:hAnsi="Times New Roman" w:cs="Times New Roman"/>
                <w:color w:val="000000"/>
                <w:sz w:val="24"/>
                <w:szCs w:val="24"/>
                <w:lang w:val="en-US" w:eastAsia="zh-CN"/>
              </w:rPr>
              <w:t>.</w:t>
            </w:r>
          </w:p>
          <w:p w14:paraId="3CEB61C7" w14:textId="7AE030F2"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2]</w:t>
            </w:r>
            <w:proofErr w:type="spellStart"/>
            <w:r w:rsidRPr="00A95529">
              <w:rPr>
                <w:rFonts w:ascii="Times New Roman" w:hAnsi="Times New Roman" w:cs="Times New Roman"/>
                <w:color w:val="000000"/>
                <w:sz w:val="24"/>
                <w:szCs w:val="24"/>
                <w:lang w:val="en-US" w:eastAsia="zh-CN"/>
              </w:rPr>
              <w:t>Bushee</w:t>
            </w:r>
            <w:proofErr w:type="spellEnd"/>
            <w:proofErr w:type="gramEnd"/>
            <w:r w:rsidRPr="00A95529">
              <w:rPr>
                <w:rFonts w:ascii="Times New Roman" w:hAnsi="Times New Roman" w:cs="Times New Roman"/>
                <w:color w:val="000000"/>
                <w:sz w:val="24"/>
                <w:szCs w:val="24"/>
                <w:lang w:val="en-US" w:eastAsia="zh-CN"/>
              </w:rPr>
              <w:t xml:space="preserve"> B J. The influence of institutional investors on myopic R&amp;D investment behavior[J]. Accounting review, 1998,73(3): 305-333</w:t>
            </w:r>
            <w:r>
              <w:rPr>
                <w:rFonts w:ascii="Times New Roman" w:hAnsi="Times New Roman" w:cs="Times New Roman"/>
                <w:color w:val="000000"/>
                <w:sz w:val="24"/>
                <w:szCs w:val="24"/>
                <w:lang w:val="en-US" w:eastAsia="zh-CN"/>
              </w:rPr>
              <w:t>.</w:t>
            </w:r>
          </w:p>
          <w:p w14:paraId="2D12DC9F" w14:textId="35D30128"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3]Almeida</w:t>
            </w:r>
            <w:proofErr w:type="gramEnd"/>
            <w:r w:rsidRPr="00A95529">
              <w:rPr>
                <w:rFonts w:ascii="Times New Roman" w:hAnsi="Times New Roman" w:cs="Times New Roman"/>
                <w:color w:val="000000"/>
                <w:sz w:val="24"/>
                <w:szCs w:val="24"/>
                <w:lang w:val="en-US" w:eastAsia="zh-CN"/>
              </w:rPr>
              <w:t xml:space="preserve"> H, </w:t>
            </w:r>
            <w:proofErr w:type="spellStart"/>
            <w:r w:rsidRPr="00A95529">
              <w:rPr>
                <w:rFonts w:ascii="Times New Roman" w:hAnsi="Times New Roman" w:cs="Times New Roman"/>
                <w:color w:val="000000"/>
                <w:sz w:val="24"/>
                <w:szCs w:val="24"/>
                <w:lang w:val="en-US" w:eastAsia="zh-CN"/>
              </w:rPr>
              <w:t>Campello</w:t>
            </w:r>
            <w:proofErr w:type="spellEnd"/>
            <w:r w:rsidRPr="00A95529">
              <w:rPr>
                <w:rFonts w:ascii="Times New Roman" w:hAnsi="Times New Roman" w:cs="Times New Roman"/>
                <w:color w:val="000000"/>
                <w:sz w:val="24"/>
                <w:szCs w:val="24"/>
                <w:lang w:val="en-US" w:eastAsia="zh-CN"/>
              </w:rPr>
              <w:t xml:space="preserve"> M, </w:t>
            </w:r>
            <w:proofErr w:type="spellStart"/>
            <w:r w:rsidRPr="00A95529">
              <w:rPr>
                <w:rFonts w:ascii="Times New Roman" w:hAnsi="Times New Roman" w:cs="Times New Roman"/>
                <w:color w:val="000000"/>
                <w:sz w:val="24"/>
                <w:szCs w:val="24"/>
                <w:lang w:val="en-US" w:eastAsia="zh-CN"/>
              </w:rPr>
              <w:t>Weisbach</w:t>
            </w:r>
            <w:proofErr w:type="spellEnd"/>
            <w:r w:rsidRPr="00A95529">
              <w:rPr>
                <w:rFonts w:ascii="Times New Roman" w:hAnsi="Times New Roman" w:cs="Times New Roman"/>
                <w:color w:val="000000"/>
                <w:sz w:val="24"/>
                <w:szCs w:val="24"/>
                <w:lang w:val="en-US" w:eastAsia="zh-CN"/>
              </w:rPr>
              <w:t xml:space="preserve"> M S. The cash flow sensitivity of cash[J]. The Journal of Finance, 2004, 59(4): 1777-1804</w:t>
            </w:r>
            <w:r>
              <w:rPr>
                <w:rFonts w:ascii="Times New Roman" w:hAnsi="Times New Roman" w:cs="Times New Roman"/>
                <w:color w:val="000000"/>
                <w:sz w:val="24"/>
                <w:szCs w:val="24"/>
                <w:lang w:val="en-US" w:eastAsia="zh-CN"/>
              </w:rPr>
              <w:t>.</w:t>
            </w:r>
          </w:p>
          <w:p w14:paraId="47A6849F" w14:textId="77777777"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4]</w:t>
            </w:r>
            <w:proofErr w:type="spellStart"/>
            <w:r w:rsidRPr="00A95529">
              <w:rPr>
                <w:rFonts w:ascii="Times New Roman" w:hAnsi="Times New Roman" w:cs="Times New Roman"/>
                <w:color w:val="000000"/>
                <w:sz w:val="24"/>
                <w:szCs w:val="24"/>
                <w:lang w:val="en-US" w:eastAsia="zh-CN"/>
              </w:rPr>
              <w:t>Brickley</w:t>
            </w:r>
            <w:proofErr w:type="spellEnd"/>
            <w:proofErr w:type="gramEnd"/>
            <w:r w:rsidRPr="00A95529">
              <w:rPr>
                <w:rFonts w:ascii="Times New Roman" w:hAnsi="Times New Roman" w:cs="Times New Roman"/>
                <w:color w:val="000000"/>
                <w:sz w:val="24"/>
                <w:szCs w:val="24"/>
                <w:lang w:val="en-US" w:eastAsia="zh-CN"/>
              </w:rPr>
              <w:t xml:space="preserve"> J, Lease R, Smith C. Ownership Structure and Voting on Antitakeover Amendments [J], Journal of Financial Economics, 1988, (20):267-291.</w:t>
            </w:r>
          </w:p>
          <w:p w14:paraId="5A3A9ED4" w14:textId="77777777"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5]Kaplan</w:t>
            </w:r>
            <w:proofErr w:type="gramEnd"/>
            <w:r w:rsidRPr="00A95529">
              <w:rPr>
                <w:rFonts w:ascii="Times New Roman" w:hAnsi="Times New Roman" w:cs="Times New Roman"/>
                <w:color w:val="000000"/>
                <w:sz w:val="24"/>
                <w:szCs w:val="24"/>
                <w:lang w:val="en-US" w:eastAsia="zh-CN"/>
              </w:rPr>
              <w:t xml:space="preserve">, S.N., </w:t>
            </w:r>
            <w:proofErr w:type="spellStart"/>
            <w:r w:rsidRPr="00A95529">
              <w:rPr>
                <w:rFonts w:ascii="Times New Roman" w:hAnsi="Times New Roman" w:cs="Times New Roman"/>
                <w:color w:val="000000"/>
                <w:sz w:val="24"/>
                <w:szCs w:val="24"/>
                <w:lang w:val="en-US" w:eastAsia="zh-CN"/>
              </w:rPr>
              <w:t>Strombexg</w:t>
            </w:r>
            <w:proofErr w:type="spellEnd"/>
            <w:r w:rsidRPr="00A95529">
              <w:rPr>
                <w:rFonts w:ascii="Times New Roman" w:hAnsi="Times New Roman" w:cs="Times New Roman"/>
                <w:color w:val="000000"/>
                <w:sz w:val="24"/>
                <w:szCs w:val="24"/>
                <w:lang w:val="en-US" w:eastAsia="zh-CN"/>
              </w:rPr>
              <w:t>, P., Venture Capitalists as Principals: Contracting Screening and Monitoring]J]. The American Economic Review, 2001, (19): 426-430.</w:t>
            </w:r>
          </w:p>
          <w:p w14:paraId="15EC0768" w14:textId="77777777"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6]Shleifer</w:t>
            </w:r>
            <w:proofErr w:type="gramEnd"/>
            <w:r w:rsidRPr="00A95529">
              <w:rPr>
                <w:rFonts w:ascii="Times New Roman" w:hAnsi="Times New Roman" w:cs="Times New Roman"/>
                <w:color w:val="000000"/>
                <w:sz w:val="24"/>
                <w:szCs w:val="24"/>
                <w:lang w:val="en-US" w:eastAsia="zh-CN"/>
              </w:rPr>
              <w:t xml:space="preserve"> A, </w:t>
            </w:r>
            <w:proofErr w:type="spellStart"/>
            <w:r w:rsidRPr="00A95529">
              <w:rPr>
                <w:rFonts w:ascii="Times New Roman" w:hAnsi="Times New Roman" w:cs="Times New Roman"/>
                <w:color w:val="000000"/>
                <w:sz w:val="24"/>
                <w:szCs w:val="24"/>
                <w:lang w:val="en-US" w:eastAsia="zh-CN"/>
              </w:rPr>
              <w:t>Vishny</w:t>
            </w:r>
            <w:proofErr w:type="spellEnd"/>
            <w:r w:rsidRPr="00A95529">
              <w:rPr>
                <w:rFonts w:ascii="Times New Roman" w:hAnsi="Times New Roman" w:cs="Times New Roman"/>
                <w:color w:val="000000"/>
                <w:sz w:val="24"/>
                <w:szCs w:val="24"/>
                <w:lang w:val="en-US" w:eastAsia="zh-CN"/>
              </w:rPr>
              <w:t xml:space="preserve"> R. Large Shareholders and Corporate Control[J]. Journal of Political Economy, 1986, 94(3): 461-470.</w:t>
            </w:r>
          </w:p>
          <w:p w14:paraId="1AE4D2D6" w14:textId="6393F622"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lastRenderedPageBreak/>
              <w:t>[</w:t>
            </w:r>
            <w:proofErr w:type="gramStart"/>
            <w:r w:rsidRPr="00A95529">
              <w:rPr>
                <w:rFonts w:ascii="Times New Roman" w:hAnsi="Times New Roman" w:cs="Times New Roman"/>
                <w:color w:val="000000"/>
                <w:sz w:val="24"/>
                <w:szCs w:val="24"/>
                <w:lang w:val="en-US" w:eastAsia="zh-CN"/>
              </w:rPr>
              <w:t>7]Cleary</w:t>
            </w:r>
            <w:proofErr w:type="gramEnd"/>
            <w:r w:rsidRPr="00A95529">
              <w:rPr>
                <w:rFonts w:ascii="Times New Roman" w:hAnsi="Times New Roman" w:cs="Times New Roman"/>
                <w:color w:val="000000"/>
                <w:sz w:val="24"/>
                <w:szCs w:val="24"/>
                <w:lang w:val="en-US" w:eastAsia="zh-CN"/>
              </w:rPr>
              <w:t>,</w:t>
            </w:r>
            <w:r>
              <w:rPr>
                <w:rFonts w:ascii="Times New Roman" w:hAnsi="Times New Roman" w:cs="Times New Roman"/>
                <w:color w:val="000000"/>
                <w:sz w:val="24"/>
                <w:szCs w:val="24"/>
                <w:lang w:val="en-US" w:eastAsia="zh-CN"/>
              </w:rPr>
              <w:t xml:space="preserve"> </w:t>
            </w:r>
            <w:r w:rsidRPr="00A95529">
              <w:rPr>
                <w:rFonts w:ascii="Times New Roman" w:hAnsi="Times New Roman" w:cs="Times New Roman"/>
                <w:color w:val="000000"/>
                <w:sz w:val="24"/>
                <w:szCs w:val="24"/>
                <w:lang w:val="en-US" w:eastAsia="zh-CN"/>
              </w:rPr>
              <w:t xml:space="preserve">S. The relationship between firm investment and financial status[J]. Journal of </w:t>
            </w:r>
            <w:proofErr w:type="spellStart"/>
            <w:r w:rsidRPr="00A95529">
              <w:rPr>
                <w:rFonts w:ascii="Times New Roman" w:hAnsi="Times New Roman" w:cs="Times New Roman"/>
                <w:color w:val="000000"/>
                <w:sz w:val="24"/>
                <w:szCs w:val="24"/>
                <w:lang w:val="en-US" w:eastAsia="zh-CN"/>
              </w:rPr>
              <w:t>Fiance</w:t>
            </w:r>
            <w:proofErr w:type="spellEnd"/>
            <w:r w:rsidRPr="00A95529">
              <w:rPr>
                <w:rFonts w:ascii="Times New Roman" w:hAnsi="Times New Roman" w:cs="Times New Roman"/>
                <w:color w:val="000000"/>
                <w:sz w:val="24"/>
                <w:szCs w:val="24"/>
                <w:lang w:val="en-US" w:eastAsia="zh-CN"/>
              </w:rPr>
              <w:t>. 1999(54):673-691.</w:t>
            </w:r>
          </w:p>
          <w:p w14:paraId="57791C1B" w14:textId="7C9D3FA2"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zh-CN"/>
              </w:rPr>
            </w:pPr>
            <w:r w:rsidRPr="00A95529">
              <w:rPr>
                <w:rFonts w:ascii="Times New Roman" w:hAnsi="Times New Roman" w:cs="Times New Roman"/>
                <w:color w:val="000000"/>
                <w:sz w:val="24"/>
                <w:szCs w:val="24"/>
                <w:lang w:val="en-US" w:eastAsia="zh-CN"/>
              </w:rPr>
              <w:t>[</w:t>
            </w:r>
            <w:proofErr w:type="gramStart"/>
            <w:r w:rsidRPr="00A95529">
              <w:rPr>
                <w:rFonts w:ascii="Times New Roman" w:hAnsi="Times New Roman" w:cs="Times New Roman"/>
                <w:color w:val="000000"/>
                <w:sz w:val="24"/>
                <w:szCs w:val="24"/>
                <w:lang w:val="en-US" w:eastAsia="zh-CN"/>
              </w:rPr>
              <w:t>8]</w:t>
            </w:r>
            <w:proofErr w:type="spellStart"/>
            <w:r w:rsidRPr="00A95529">
              <w:rPr>
                <w:rFonts w:ascii="Times New Roman" w:hAnsi="Times New Roman" w:cs="Times New Roman"/>
                <w:color w:val="000000"/>
                <w:sz w:val="24"/>
                <w:szCs w:val="24"/>
                <w:lang w:val="en-US" w:eastAsia="zh-CN"/>
              </w:rPr>
              <w:t>Fazzari</w:t>
            </w:r>
            <w:proofErr w:type="spellEnd"/>
            <w:proofErr w:type="gramEnd"/>
            <w:r w:rsidRPr="00A95529">
              <w:rPr>
                <w:rFonts w:ascii="Times New Roman" w:hAnsi="Times New Roman" w:cs="Times New Roman"/>
                <w:color w:val="000000"/>
                <w:sz w:val="24"/>
                <w:szCs w:val="24"/>
                <w:lang w:val="en-US" w:eastAsia="zh-CN"/>
              </w:rPr>
              <w:t xml:space="preserve"> S. M. Hubbard R. G.</w:t>
            </w:r>
            <w:r>
              <w:rPr>
                <w:rFonts w:ascii="Times New Roman" w:hAnsi="Times New Roman" w:cs="Times New Roman"/>
                <w:color w:val="000000"/>
                <w:sz w:val="24"/>
                <w:szCs w:val="24"/>
                <w:lang w:val="en-US" w:eastAsia="zh-CN"/>
              </w:rPr>
              <w:t xml:space="preserve"> </w:t>
            </w:r>
            <w:r w:rsidRPr="00A95529">
              <w:rPr>
                <w:rFonts w:ascii="Times New Roman" w:hAnsi="Times New Roman" w:cs="Times New Roman"/>
                <w:color w:val="000000"/>
                <w:sz w:val="24"/>
                <w:szCs w:val="24"/>
                <w:lang w:val="en-US" w:eastAsia="zh-CN"/>
              </w:rPr>
              <w:t>and Petersen B. C. , Financing constraints and core investment. Brookings Papers on Economics Activity, 1988(1):141-206.</w:t>
            </w:r>
          </w:p>
          <w:p w14:paraId="5C3812C5" w14:textId="77777777"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9]</w:t>
            </w:r>
            <w:proofErr w:type="spellStart"/>
            <w:r w:rsidRPr="00A95529">
              <w:rPr>
                <w:rFonts w:ascii="Times New Roman" w:eastAsia="宋体" w:hAnsi="Times New Roman" w:cs="Times New Roman"/>
                <w:color w:val="000000"/>
                <w:sz w:val="24"/>
                <w:szCs w:val="24"/>
                <w:lang w:eastAsia="en-US" w:bidi="en-US"/>
              </w:rPr>
              <w:t>Fazzari</w:t>
            </w:r>
            <w:proofErr w:type="spellEnd"/>
            <w:proofErr w:type="gramEnd"/>
            <w:r w:rsidRPr="00A95529">
              <w:rPr>
                <w:rFonts w:ascii="Times New Roman" w:eastAsia="宋体" w:hAnsi="Times New Roman" w:cs="Times New Roman"/>
                <w:color w:val="000000"/>
                <w:sz w:val="24"/>
                <w:szCs w:val="24"/>
                <w:lang w:eastAsia="en-US" w:bidi="en-US"/>
              </w:rPr>
              <w:t xml:space="preserve"> S M, Petersen B C. Working Capital and Fixed Investment: New Evidence on Financing Constraints [J]. Rand Journal of Economics. 1993, (24): 328-342.</w:t>
            </w:r>
          </w:p>
          <w:p w14:paraId="6E34FD09" w14:textId="459095A7"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0" w:name="bookmark224"/>
            <w:bookmarkEnd w:id="0"/>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10]</w:t>
            </w:r>
            <w:r w:rsidRPr="00A95529">
              <w:rPr>
                <w:rFonts w:ascii="Times New Roman" w:eastAsia="宋体" w:hAnsi="Times New Roman" w:cs="Times New Roman"/>
                <w:color w:val="000000"/>
                <w:sz w:val="24"/>
                <w:szCs w:val="24"/>
                <w:lang w:eastAsia="en-US" w:bidi="en-US"/>
              </w:rPr>
              <w:t>Modigliani</w:t>
            </w:r>
            <w:proofErr w:type="gramEnd"/>
            <w:r w:rsidRPr="00A95529">
              <w:rPr>
                <w:rFonts w:ascii="Times New Roman" w:eastAsia="宋体" w:hAnsi="Times New Roman" w:cs="Times New Roman"/>
                <w:color w:val="000000"/>
                <w:sz w:val="24"/>
                <w:szCs w:val="24"/>
                <w:lang w:eastAsia="en-US" w:bidi="en-US"/>
              </w:rPr>
              <w:t xml:space="preserve"> F, Miller M H. The cost of capital, corporation finance and the theory of investment</w:t>
            </w:r>
            <w:r>
              <w:rPr>
                <w:rFonts w:ascii="Times New Roman" w:eastAsia="宋体" w:hAnsi="Times New Roman" w:cs="Times New Roman"/>
                <w:color w:val="000000"/>
                <w:sz w:val="24"/>
                <w:szCs w:val="24"/>
                <w:lang w:eastAsia="en-US" w:bidi="en-US"/>
              </w:rPr>
              <w:t xml:space="preserve"> </w:t>
            </w:r>
            <w:r>
              <w:rPr>
                <w:rFonts w:ascii="Times New Roman" w:eastAsia="宋体" w:hAnsi="Times New Roman" w:cs="Times New Roman" w:hint="eastAsia"/>
                <w:color w:val="000000"/>
                <w:sz w:val="24"/>
                <w:szCs w:val="24"/>
                <w:lang w:bidi="en-US"/>
              </w:rPr>
              <w:t>[</w:t>
            </w:r>
            <w:r w:rsidRPr="00A95529">
              <w:rPr>
                <w:rFonts w:ascii="Times New Roman" w:eastAsia="宋体" w:hAnsi="Times New Roman" w:cs="Times New Roman"/>
                <w:color w:val="000000"/>
                <w:sz w:val="24"/>
                <w:szCs w:val="24"/>
                <w:lang w:eastAsia="en-US" w:bidi="en-US"/>
              </w:rPr>
              <w:t>J], The American economic review, 1958, 48(3): 261-297.</w:t>
            </w:r>
          </w:p>
          <w:p w14:paraId="01DC2A93" w14:textId="77777777"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1" w:name="bookmark225"/>
            <w:bookmarkEnd w:id="1"/>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11]</w:t>
            </w:r>
            <w:r w:rsidRPr="00A95529">
              <w:rPr>
                <w:rFonts w:ascii="Times New Roman" w:eastAsia="宋体" w:hAnsi="Times New Roman" w:cs="Times New Roman"/>
                <w:color w:val="000000"/>
                <w:sz w:val="24"/>
                <w:szCs w:val="24"/>
                <w:lang w:eastAsia="en-US" w:bidi="en-US"/>
              </w:rPr>
              <w:t>Black</w:t>
            </w:r>
            <w:proofErr w:type="gramEnd"/>
            <w:r w:rsidRPr="00A95529">
              <w:rPr>
                <w:rFonts w:ascii="Times New Roman" w:eastAsia="宋体" w:hAnsi="Times New Roman" w:cs="Times New Roman"/>
                <w:color w:val="000000"/>
                <w:sz w:val="24"/>
                <w:szCs w:val="24"/>
                <w:lang w:eastAsia="en-US" w:bidi="en-US"/>
              </w:rPr>
              <w:t xml:space="preserve"> B. Shareholder passivity reexamined [J]. Michigan Law Review 1990, (9):520-608.</w:t>
            </w:r>
          </w:p>
          <w:p w14:paraId="7659F6E1" w14:textId="77777777"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2" w:name="bookmark226"/>
            <w:bookmarkEnd w:id="2"/>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12]</w:t>
            </w:r>
            <w:proofErr w:type="spellStart"/>
            <w:r w:rsidRPr="00A95529">
              <w:rPr>
                <w:rFonts w:ascii="Times New Roman" w:eastAsia="宋体" w:hAnsi="Times New Roman" w:cs="Times New Roman"/>
                <w:color w:val="000000"/>
                <w:sz w:val="24"/>
                <w:szCs w:val="24"/>
                <w:lang w:eastAsia="en-US" w:bidi="en-US"/>
              </w:rPr>
              <w:t>Claessens</w:t>
            </w:r>
            <w:proofErr w:type="spellEnd"/>
            <w:proofErr w:type="gramEnd"/>
            <w:r w:rsidRPr="00A95529">
              <w:rPr>
                <w:rFonts w:ascii="Times New Roman" w:eastAsia="宋体" w:hAnsi="Times New Roman" w:cs="Times New Roman"/>
                <w:color w:val="000000"/>
                <w:sz w:val="24"/>
                <w:szCs w:val="24"/>
                <w:lang w:eastAsia="en-US" w:bidi="en-US"/>
              </w:rPr>
              <w:t xml:space="preserve"> S, </w:t>
            </w:r>
            <w:proofErr w:type="spellStart"/>
            <w:r w:rsidRPr="00A95529">
              <w:rPr>
                <w:rFonts w:ascii="Times New Roman" w:eastAsia="宋体" w:hAnsi="Times New Roman" w:cs="Times New Roman"/>
                <w:color w:val="000000"/>
                <w:sz w:val="24"/>
                <w:szCs w:val="24"/>
                <w:lang w:eastAsia="en-US" w:bidi="en-US"/>
              </w:rPr>
              <w:t>Laeven</w:t>
            </w:r>
            <w:proofErr w:type="spellEnd"/>
            <w:r w:rsidRPr="00A95529">
              <w:rPr>
                <w:rFonts w:ascii="Times New Roman" w:eastAsia="宋体" w:hAnsi="Times New Roman" w:cs="Times New Roman"/>
                <w:color w:val="000000"/>
                <w:sz w:val="24"/>
                <w:szCs w:val="24"/>
                <w:lang w:eastAsia="en-US" w:bidi="en-US"/>
              </w:rPr>
              <w:t xml:space="preserve"> L. Financial Development, Property Rights, and Growth[J].The Journal of Finance, 2003, 58(6): 2401-2436.</w:t>
            </w:r>
          </w:p>
          <w:p w14:paraId="74611FC1" w14:textId="5EF69C32"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3" w:name="bookmark227"/>
            <w:bookmarkEnd w:id="3"/>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13]</w:t>
            </w:r>
            <w:proofErr w:type="spellStart"/>
            <w:r w:rsidRPr="00A95529">
              <w:rPr>
                <w:rFonts w:ascii="Times New Roman" w:eastAsia="宋体" w:hAnsi="Times New Roman" w:cs="Times New Roman"/>
                <w:color w:val="000000"/>
                <w:sz w:val="24"/>
                <w:szCs w:val="24"/>
                <w:lang w:eastAsia="en-US" w:bidi="en-US"/>
              </w:rPr>
              <w:t>Wahal</w:t>
            </w:r>
            <w:proofErr w:type="spellEnd"/>
            <w:proofErr w:type="gramEnd"/>
            <w:r w:rsidRPr="00A95529">
              <w:rPr>
                <w:rFonts w:ascii="Times New Roman" w:eastAsia="宋体" w:hAnsi="Times New Roman" w:cs="Times New Roman"/>
                <w:color w:val="000000"/>
                <w:sz w:val="24"/>
                <w:szCs w:val="24"/>
                <w:lang w:eastAsia="en-US" w:bidi="en-US"/>
              </w:rPr>
              <w:t xml:space="preserve">, J., </w:t>
            </w:r>
            <w:proofErr w:type="spellStart"/>
            <w:r w:rsidRPr="00A95529">
              <w:rPr>
                <w:rFonts w:ascii="Times New Roman" w:eastAsia="宋体" w:hAnsi="Times New Roman" w:cs="Times New Roman"/>
                <w:color w:val="000000"/>
                <w:sz w:val="24"/>
                <w:szCs w:val="24"/>
                <w:lang w:eastAsia="en-US" w:bidi="en-US"/>
              </w:rPr>
              <w:t>Mcconnell</w:t>
            </w:r>
            <w:proofErr w:type="spellEnd"/>
            <w:r w:rsidRPr="00A95529">
              <w:rPr>
                <w:rFonts w:ascii="Times New Roman" w:eastAsia="宋体" w:hAnsi="Times New Roman" w:cs="Times New Roman"/>
                <w:color w:val="000000"/>
                <w:sz w:val="24"/>
                <w:szCs w:val="24"/>
                <w:lang w:eastAsia="en-US" w:bidi="en-US"/>
              </w:rPr>
              <w:t>, Do Journal of Corporate Finance,</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institutional investors exacerbate managerial myopia</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2000, (6)</w:t>
            </w:r>
            <w:r>
              <w:rPr>
                <w:rFonts w:ascii="Times New Roman" w:eastAsia="宋体" w:hAnsi="Times New Roman" w:cs="Times New Roman"/>
                <w:color w:val="000000"/>
                <w:sz w:val="24"/>
                <w:szCs w:val="24"/>
                <w:lang w:eastAsia="en-US" w:bidi="en-US"/>
              </w:rPr>
              <w:t>.</w:t>
            </w:r>
          </w:p>
          <w:p w14:paraId="4D0C365C" w14:textId="70CD51F8"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4" w:name="bookmark228"/>
            <w:bookmarkEnd w:id="4"/>
            <w:r w:rsidRPr="00A95529">
              <w:rPr>
                <w:rFonts w:ascii="Times New Roman" w:eastAsia="宋体" w:hAnsi="Times New Roman" w:cs="Times New Roman"/>
                <w:color w:val="000000"/>
                <w:sz w:val="24"/>
                <w:szCs w:val="24"/>
                <w:lang w:bidi="en-US"/>
              </w:rPr>
              <w:t>[14]</w:t>
            </w:r>
            <w:r w:rsidRPr="00A95529">
              <w:rPr>
                <w:rFonts w:ascii="Times New Roman" w:eastAsia="宋体" w:hAnsi="Times New Roman" w:cs="Times New Roman"/>
                <w:color w:val="000000"/>
                <w:sz w:val="24"/>
                <w:szCs w:val="24"/>
                <w:lang w:eastAsia="en-US" w:bidi="en-US"/>
              </w:rPr>
              <w:t>Pound, Proxy contests and the efficiency of shareholder oversight</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J], Journal of Financial Economics, 1988, (20): 533</w:t>
            </w:r>
            <w:r>
              <w:rPr>
                <w:rFonts w:ascii="Times New Roman" w:eastAsia="宋体" w:hAnsi="Times New Roman" w:cs="Times New Roman" w:hint="eastAsia"/>
                <w:color w:val="000000"/>
                <w:sz w:val="24"/>
                <w:szCs w:val="24"/>
                <w:lang w:val="zh-TW" w:eastAsia="zh-TW" w:bidi="zh-TW"/>
              </w:rPr>
              <w:t>-</w:t>
            </w:r>
            <w:r w:rsidRPr="00A95529">
              <w:rPr>
                <w:rFonts w:ascii="Times New Roman" w:eastAsia="宋体" w:hAnsi="Times New Roman" w:cs="Times New Roman"/>
                <w:color w:val="000000"/>
                <w:sz w:val="24"/>
                <w:szCs w:val="24"/>
                <w:lang w:eastAsia="en-US" w:bidi="en-US"/>
              </w:rPr>
              <w:t>541.</w:t>
            </w:r>
          </w:p>
          <w:p w14:paraId="688E3C04" w14:textId="77777777" w:rsidR="00004E1B" w:rsidRPr="00A95529" w:rsidRDefault="00004E1B" w:rsidP="00004E1B">
            <w:pPr>
              <w:pStyle w:val="Bodytext2"/>
              <w:tabs>
                <w:tab w:val="left" w:pos="526"/>
              </w:tabs>
              <w:spacing w:line="276" w:lineRule="auto"/>
              <w:ind w:firstLine="0"/>
              <w:jc w:val="left"/>
              <w:rPr>
                <w:rFonts w:ascii="Times New Roman" w:eastAsia="宋体" w:hAnsi="Times New Roman" w:cs="Times New Roman"/>
                <w:sz w:val="24"/>
                <w:szCs w:val="24"/>
              </w:rPr>
            </w:pPr>
            <w:bookmarkStart w:id="5" w:name="bookmark229"/>
            <w:bookmarkEnd w:id="5"/>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15]</w:t>
            </w:r>
            <w:proofErr w:type="spellStart"/>
            <w:r w:rsidRPr="00A95529">
              <w:rPr>
                <w:rFonts w:ascii="Times New Roman" w:eastAsia="宋体" w:hAnsi="Times New Roman" w:cs="Times New Roman"/>
                <w:color w:val="000000"/>
                <w:sz w:val="24"/>
                <w:szCs w:val="24"/>
                <w:lang w:eastAsia="en-US" w:bidi="en-US"/>
              </w:rPr>
              <w:t>Chidambaran</w:t>
            </w:r>
            <w:proofErr w:type="spellEnd"/>
            <w:proofErr w:type="gramEnd"/>
            <w:r w:rsidRPr="00A95529">
              <w:rPr>
                <w:rFonts w:ascii="Times New Roman" w:eastAsia="宋体" w:hAnsi="Times New Roman" w:cs="Times New Roman"/>
                <w:color w:val="000000"/>
                <w:sz w:val="24"/>
                <w:szCs w:val="24"/>
                <w:lang w:eastAsia="en-US" w:bidi="en-US"/>
              </w:rPr>
              <w:t xml:space="preserve"> N, John K. Relationship investing and Corporate Governance [R]. Tulane University and New York University Working Paper, 2000.</w:t>
            </w:r>
          </w:p>
          <w:p w14:paraId="33A14211" w14:textId="09542CF9" w:rsidR="00004E1B" w:rsidRPr="00A95529" w:rsidRDefault="00004E1B" w:rsidP="00004E1B">
            <w:pPr>
              <w:pStyle w:val="Bodytext2"/>
              <w:tabs>
                <w:tab w:val="left" w:pos="531"/>
              </w:tabs>
              <w:spacing w:line="276" w:lineRule="auto"/>
              <w:ind w:firstLine="0"/>
              <w:jc w:val="left"/>
              <w:rPr>
                <w:rFonts w:ascii="Times New Roman" w:eastAsia="宋体" w:hAnsi="Times New Roman" w:cs="Times New Roman"/>
                <w:sz w:val="24"/>
                <w:szCs w:val="24"/>
              </w:rPr>
            </w:pPr>
            <w:bookmarkStart w:id="6" w:name="bookmark230"/>
            <w:bookmarkEnd w:id="6"/>
            <w:r w:rsidRPr="00A95529">
              <w:rPr>
                <w:rFonts w:ascii="Times New Roman" w:eastAsia="宋体" w:hAnsi="Times New Roman" w:cs="Times New Roman"/>
                <w:color w:val="000000"/>
                <w:sz w:val="24"/>
                <w:szCs w:val="24"/>
                <w:lang w:bidi="en-US"/>
              </w:rPr>
              <w:t>[</w:t>
            </w:r>
            <w:proofErr w:type="gramStart"/>
            <w:r w:rsidRPr="00A95529">
              <w:rPr>
                <w:rFonts w:ascii="Times New Roman" w:eastAsia="宋体" w:hAnsi="Times New Roman" w:cs="Times New Roman"/>
                <w:color w:val="000000"/>
                <w:sz w:val="24"/>
                <w:szCs w:val="24"/>
                <w:lang w:bidi="en-US"/>
              </w:rPr>
              <w:t>16]</w:t>
            </w:r>
            <w:proofErr w:type="spellStart"/>
            <w:r w:rsidRPr="00A95529">
              <w:rPr>
                <w:rFonts w:ascii="Times New Roman" w:eastAsia="宋体" w:hAnsi="Times New Roman" w:cs="Times New Roman"/>
                <w:color w:val="000000"/>
                <w:sz w:val="24"/>
                <w:szCs w:val="24"/>
                <w:lang w:eastAsia="en-US" w:bidi="en-US"/>
              </w:rPr>
              <w:t>Bushee</w:t>
            </w:r>
            <w:proofErr w:type="spellEnd"/>
            <w:proofErr w:type="gramEnd"/>
            <w:r w:rsidRPr="00A95529">
              <w:rPr>
                <w:rFonts w:ascii="Times New Roman" w:eastAsia="宋体" w:hAnsi="Times New Roman" w:cs="Times New Roman"/>
                <w:color w:val="000000"/>
                <w:sz w:val="24"/>
                <w:szCs w:val="24"/>
                <w:lang w:eastAsia="en-US" w:bidi="en-US"/>
              </w:rPr>
              <w:t>, B., Goodman, T. Which institutional investors trade based on private information about earnings and returns</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[J].</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Journal of Accounting Research,</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2007,</w:t>
            </w:r>
            <w:r>
              <w:rPr>
                <w:rFonts w:ascii="Times New Roman" w:eastAsia="宋体" w:hAnsi="Times New Roman" w:cs="Times New Roman"/>
                <w:color w:val="000000"/>
                <w:sz w:val="24"/>
                <w:szCs w:val="24"/>
                <w:lang w:eastAsia="en-US" w:bidi="en-US"/>
              </w:rPr>
              <w:t xml:space="preserve"> </w:t>
            </w:r>
            <w:r w:rsidRPr="00A95529">
              <w:rPr>
                <w:rFonts w:ascii="Times New Roman" w:eastAsia="宋体" w:hAnsi="Times New Roman" w:cs="Times New Roman"/>
                <w:color w:val="000000"/>
                <w:sz w:val="24"/>
                <w:szCs w:val="24"/>
                <w:lang w:eastAsia="en-US" w:bidi="en-US"/>
              </w:rPr>
              <w:t>45, 289-322.</w:t>
            </w:r>
          </w:p>
          <w:p w14:paraId="4C704D22" w14:textId="5F1C625E" w:rsidR="00004E1B" w:rsidRPr="00A95529" w:rsidRDefault="00004E1B" w:rsidP="00004E1B">
            <w:pPr>
              <w:pStyle w:val="Bodytext1"/>
              <w:spacing w:line="276" w:lineRule="auto"/>
              <w:ind w:firstLine="0"/>
              <w:jc w:val="left"/>
              <w:rPr>
                <w:rFonts w:ascii="Times New Roman" w:hAnsi="Times New Roman" w:cs="Times New Roman"/>
                <w:color w:val="000000"/>
                <w:sz w:val="24"/>
                <w:szCs w:val="24"/>
                <w:lang w:val="en-US" w:eastAsia="en-US" w:bidi="en-US"/>
              </w:rPr>
            </w:pPr>
            <w:bookmarkStart w:id="7" w:name="bookmark231"/>
            <w:bookmarkEnd w:id="7"/>
            <w:r w:rsidRPr="00A95529">
              <w:rPr>
                <w:rFonts w:ascii="Times New Roman" w:hAnsi="Times New Roman" w:cs="Times New Roman"/>
                <w:color w:val="000000"/>
                <w:sz w:val="24"/>
                <w:szCs w:val="24"/>
                <w:lang w:val="en-US" w:eastAsia="zh-CN" w:bidi="en-US"/>
              </w:rPr>
              <w:t>[</w:t>
            </w:r>
            <w:proofErr w:type="gramStart"/>
            <w:r w:rsidRPr="00A95529">
              <w:rPr>
                <w:rFonts w:ascii="Times New Roman" w:hAnsi="Times New Roman" w:cs="Times New Roman"/>
                <w:color w:val="000000"/>
                <w:sz w:val="24"/>
                <w:szCs w:val="24"/>
                <w:lang w:val="en-US" w:eastAsia="zh-CN" w:bidi="en-US"/>
              </w:rPr>
              <w:t>17]</w:t>
            </w:r>
            <w:r w:rsidRPr="00A95529">
              <w:rPr>
                <w:rFonts w:ascii="Times New Roman" w:hAnsi="Times New Roman" w:cs="Times New Roman"/>
                <w:color w:val="000000"/>
                <w:sz w:val="24"/>
                <w:szCs w:val="24"/>
                <w:lang w:val="en-US" w:eastAsia="en-US" w:bidi="en-US"/>
              </w:rPr>
              <w:t>Qi</w:t>
            </w:r>
            <w:proofErr w:type="gramEnd"/>
            <w:r w:rsidRPr="00A95529">
              <w:rPr>
                <w:rFonts w:ascii="Times New Roman" w:hAnsi="Times New Roman" w:cs="Times New Roman"/>
                <w:color w:val="000000"/>
                <w:sz w:val="24"/>
                <w:szCs w:val="24"/>
                <w:lang w:val="en-US" w:eastAsia="en-US" w:bidi="en-US"/>
              </w:rPr>
              <w:t xml:space="preserve"> Chen, Jennifer Francis, Wei Jiang.</w:t>
            </w:r>
            <w:r>
              <w:rPr>
                <w:rFonts w:ascii="Times New Roman" w:hAnsi="Times New Roman" w:cs="Times New Roman"/>
                <w:color w:val="000000"/>
                <w:sz w:val="24"/>
                <w:szCs w:val="24"/>
                <w:lang w:val="en-US" w:eastAsia="en-US" w:bidi="en-US"/>
              </w:rPr>
              <w:t xml:space="preserve"> </w:t>
            </w:r>
            <w:r w:rsidRPr="00A95529">
              <w:rPr>
                <w:rFonts w:ascii="Times New Roman" w:hAnsi="Times New Roman" w:cs="Times New Roman"/>
                <w:color w:val="000000"/>
                <w:sz w:val="24"/>
                <w:szCs w:val="24"/>
                <w:lang w:val="en-US" w:eastAsia="en-US" w:bidi="en-US"/>
              </w:rPr>
              <w:t>Investor learning about analyst predictive ability [J]. Journal of Accounting and Economics,</w:t>
            </w:r>
            <w:r>
              <w:rPr>
                <w:rFonts w:ascii="Times New Roman" w:hAnsi="Times New Roman" w:cs="Times New Roman"/>
                <w:color w:val="000000"/>
                <w:sz w:val="24"/>
                <w:szCs w:val="24"/>
                <w:lang w:val="en-US" w:eastAsia="en-US" w:bidi="en-US"/>
              </w:rPr>
              <w:t xml:space="preserve"> </w:t>
            </w:r>
            <w:r w:rsidRPr="00A95529">
              <w:rPr>
                <w:rFonts w:ascii="Times New Roman" w:hAnsi="Times New Roman" w:cs="Times New Roman"/>
                <w:color w:val="000000"/>
                <w:sz w:val="24"/>
                <w:szCs w:val="24"/>
                <w:lang w:val="en-US" w:eastAsia="en-US" w:bidi="en-US"/>
              </w:rPr>
              <w:t>2005,</w:t>
            </w:r>
            <w:r>
              <w:rPr>
                <w:rFonts w:ascii="Times New Roman" w:hAnsi="Times New Roman" w:cs="Times New Roman"/>
                <w:color w:val="000000"/>
                <w:sz w:val="24"/>
                <w:szCs w:val="24"/>
                <w:lang w:val="en-US" w:eastAsia="en-US" w:bidi="en-US"/>
              </w:rPr>
              <w:t xml:space="preserve"> </w:t>
            </w:r>
            <w:r w:rsidRPr="00A95529">
              <w:rPr>
                <w:rFonts w:ascii="Times New Roman" w:hAnsi="Times New Roman" w:cs="Times New Roman"/>
                <w:color w:val="000000"/>
                <w:sz w:val="24"/>
                <w:szCs w:val="24"/>
                <w:lang w:val="en-US" w:eastAsia="en-US" w:bidi="en-US"/>
              </w:rPr>
              <w:t>39(1):3-2</w:t>
            </w:r>
            <w:r>
              <w:rPr>
                <w:rFonts w:ascii="Times New Roman" w:hAnsi="Times New Roman" w:cs="Times New Roman"/>
                <w:color w:val="000000"/>
                <w:sz w:val="24"/>
                <w:szCs w:val="24"/>
                <w:lang w:val="en-US" w:eastAsia="en-US" w:bidi="en-US"/>
              </w:rPr>
              <w:t>.</w:t>
            </w:r>
          </w:p>
          <w:p w14:paraId="0B4BEBB8" w14:textId="77777777" w:rsidR="00004E1B" w:rsidRPr="00A95529" w:rsidRDefault="00004E1B" w:rsidP="00004E1B">
            <w:pPr>
              <w:pStyle w:val="a7"/>
              <w:spacing w:line="276" w:lineRule="auto"/>
              <w:ind w:left="0" w:right="218"/>
              <w:jc w:val="left"/>
              <w:rPr>
                <w:rFonts w:ascii="Times New Roman" w:eastAsia="宋体" w:hAnsi="Times New Roman" w:cs="Times New Roman"/>
                <w:sz w:val="24"/>
                <w:szCs w:val="24"/>
                <w:lang w:val="en-GB"/>
              </w:rPr>
            </w:pPr>
            <w:r w:rsidRPr="00A95529">
              <w:rPr>
                <w:rFonts w:ascii="Times New Roman" w:eastAsia="宋体" w:hAnsi="Times New Roman" w:cs="Times New Roman"/>
                <w:color w:val="231F20"/>
                <w:sz w:val="24"/>
                <w:szCs w:val="24"/>
                <w:lang w:val="en-US"/>
              </w:rPr>
              <w:t>[</w:t>
            </w:r>
            <w:proofErr w:type="gramStart"/>
            <w:r w:rsidRPr="00A95529">
              <w:rPr>
                <w:rFonts w:ascii="Times New Roman" w:eastAsia="宋体" w:hAnsi="Times New Roman" w:cs="Times New Roman"/>
                <w:color w:val="231F20"/>
                <w:sz w:val="24"/>
                <w:szCs w:val="24"/>
                <w:lang w:val="en-US"/>
              </w:rPr>
              <w:t>18]</w:t>
            </w:r>
            <w:r w:rsidRPr="00A95529">
              <w:rPr>
                <w:rFonts w:ascii="Times New Roman" w:eastAsia="宋体" w:hAnsi="Times New Roman" w:cs="Times New Roman"/>
                <w:color w:val="231F20"/>
                <w:sz w:val="24"/>
                <w:szCs w:val="24"/>
                <w:lang w:val="en-GB"/>
              </w:rPr>
              <w:t>Bentley</w:t>
            </w:r>
            <w:proofErr w:type="gramEnd"/>
            <w:r w:rsidRPr="00A95529">
              <w:rPr>
                <w:rFonts w:ascii="Times New Roman" w:eastAsia="宋体" w:hAnsi="Times New Roman" w:cs="Times New Roman"/>
                <w:color w:val="231F20"/>
                <w:sz w:val="24"/>
                <w:szCs w:val="24"/>
                <w:lang w:val="en-GB"/>
              </w:rPr>
              <w:t xml:space="preserve">. Business Strategy, Financial Reporting </w:t>
            </w:r>
            <w:r w:rsidRPr="00A95529">
              <w:rPr>
                <w:rFonts w:ascii="Times New Roman" w:eastAsia="宋体" w:hAnsi="Times New Roman" w:cs="Times New Roman"/>
                <w:color w:val="231F20"/>
                <w:w w:val="95"/>
                <w:sz w:val="24"/>
                <w:szCs w:val="24"/>
                <w:lang w:val="en-GB"/>
              </w:rPr>
              <w:t>Irregularities, and Audit Effort</w:t>
            </w:r>
            <w:r w:rsidRPr="00A95529">
              <w:rPr>
                <w:rFonts w:ascii="Times New Roman" w:eastAsia="宋体" w:hAnsi="Times New Roman" w:cs="Times New Roman"/>
                <w:color w:val="231F20"/>
                <w:w w:val="95"/>
                <w:sz w:val="24"/>
                <w:szCs w:val="24"/>
                <w:lang w:val="en-GB"/>
              </w:rPr>
              <w:t>．</w:t>
            </w:r>
            <w:r w:rsidRPr="00A95529">
              <w:rPr>
                <w:rFonts w:ascii="Times New Roman" w:eastAsia="宋体" w:hAnsi="Times New Roman" w:cs="Times New Roman"/>
                <w:color w:val="231F20"/>
                <w:w w:val="95"/>
                <w:sz w:val="24"/>
                <w:szCs w:val="24"/>
                <w:lang w:val="en-GB"/>
              </w:rPr>
              <w:t xml:space="preserve">Contemporary Accounting </w:t>
            </w:r>
            <w:r w:rsidRPr="00A95529">
              <w:rPr>
                <w:rFonts w:ascii="Times New Roman" w:eastAsia="宋体" w:hAnsi="Times New Roman" w:cs="Times New Roman"/>
                <w:color w:val="231F20"/>
                <w:sz w:val="24"/>
                <w:szCs w:val="24"/>
                <w:lang w:val="en-GB"/>
              </w:rPr>
              <w:t>Research, 2013.</w:t>
            </w:r>
          </w:p>
          <w:p w14:paraId="7A9EA790" w14:textId="0EAA6B76" w:rsidR="00004E1B" w:rsidRPr="00A95529" w:rsidRDefault="00004E1B" w:rsidP="00004E1B">
            <w:pPr>
              <w:pStyle w:val="a7"/>
              <w:spacing w:line="276" w:lineRule="auto"/>
              <w:ind w:left="0" w:right="220"/>
              <w:jc w:val="left"/>
              <w:rPr>
                <w:rFonts w:ascii="Times New Roman" w:eastAsia="宋体" w:hAnsi="Times New Roman" w:cs="Times New Roman"/>
                <w:sz w:val="24"/>
                <w:szCs w:val="24"/>
                <w:lang w:val="en-GB"/>
              </w:rPr>
            </w:pPr>
            <w:r w:rsidRPr="00A95529">
              <w:rPr>
                <w:rFonts w:ascii="Times New Roman" w:eastAsia="宋体" w:hAnsi="Times New Roman" w:cs="Times New Roman"/>
                <w:color w:val="231F20"/>
                <w:w w:val="90"/>
                <w:sz w:val="24"/>
                <w:szCs w:val="24"/>
                <w:lang w:val="en-US"/>
              </w:rPr>
              <w:t>[</w:t>
            </w:r>
            <w:proofErr w:type="gramStart"/>
            <w:r w:rsidRPr="00A95529">
              <w:rPr>
                <w:rFonts w:ascii="Times New Roman" w:eastAsia="宋体" w:hAnsi="Times New Roman" w:cs="Times New Roman"/>
                <w:color w:val="231F20"/>
                <w:w w:val="90"/>
                <w:sz w:val="24"/>
                <w:szCs w:val="24"/>
                <w:lang w:val="en-US"/>
              </w:rPr>
              <w:t>19]</w:t>
            </w:r>
            <w:proofErr w:type="spellStart"/>
            <w:r w:rsidRPr="00A95529">
              <w:rPr>
                <w:rFonts w:ascii="Times New Roman" w:eastAsia="宋体" w:hAnsi="Times New Roman" w:cs="Times New Roman"/>
                <w:color w:val="231F20"/>
                <w:w w:val="90"/>
                <w:sz w:val="24"/>
                <w:szCs w:val="24"/>
                <w:lang w:val="en-GB"/>
              </w:rPr>
              <w:t>Chidarnbaran</w:t>
            </w:r>
            <w:proofErr w:type="spellEnd"/>
            <w:proofErr w:type="gramEnd"/>
            <w:r w:rsidRPr="00A95529">
              <w:rPr>
                <w:rFonts w:ascii="Times New Roman" w:eastAsia="宋体" w:hAnsi="Times New Roman" w:cs="Times New Roman"/>
                <w:color w:val="231F20"/>
                <w:w w:val="90"/>
                <w:sz w:val="24"/>
                <w:szCs w:val="24"/>
                <w:lang w:val="en-GB"/>
              </w:rPr>
              <w:t xml:space="preserve"> N.,</w:t>
            </w:r>
            <w:r>
              <w:rPr>
                <w:rFonts w:ascii="Times New Roman" w:eastAsia="宋体" w:hAnsi="Times New Roman" w:cs="Times New Roman"/>
                <w:color w:val="231F20"/>
                <w:w w:val="90"/>
                <w:sz w:val="24"/>
                <w:szCs w:val="24"/>
                <w:lang w:val="en-GB"/>
              </w:rPr>
              <w:t xml:space="preserve"> </w:t>
            </w:r>
            <w:r w:rsidRPr="00A95529">
              <w:rPr>
                <w:rFonts w:ascii="Times New Roman" w:eastAsia="宋体" w:hAnsi="Times New Roman" w:cs="Times New Roman"/>
                <w:color w:val="231F20"/>
                <w:w w:val="90"/>
                <w:sz w:val="24"/>
                <w:szCs w:val="24"/>
                <w:lang w:val="en-GB"/>
              </w:rPr>
              <w:t>John K.,</w:t>
            </w:r>
            <w:r>
              <w:rPr>
                <w:rFonts w:ascii="Times New Roman" w:eastAsia="宋体" w:hAnsi="Times New Roman" w:cs="Times New Roman"/>
                <w:color w:val="231F20"/>
                <w:w w:val="90"/>
                <w:sz w:val="24"/>
                <w:szCs w:val="24"/>
                <w:lang w:val="en-GB"/>
              </w:rPr>
              <w:t xml:space="preserve"> </w:t>
            </w:r>
            <w:r w:rsidRPr="00A95529">
              <w:rPr>
                <w:rFonts w:ascii="Times New Roman" w:eastAsia="宋体" w:hAnsi="Times New Roman" w:cs="Times New Roman"/>
                <w:color w:val="231F20"/>
                <w:w w:val="90"/>
                <w:sz w:val="24"/>
                <w:szCs w:val="24"/>
                <w:lang w:val="en-GB"/>
              </w:rPr>
              <w:t xml:space="preserve">Relationship Investing and </w:t>
            </w:r>
            <w:r w:rsidRPr="00A95529">
              <w:rPr>
                <w:rFonts w:ascii="Times New Roman" w:eastAsia="宋体" w:hAnsi="Times New Roman" w:cs="Times New Roman"/>
                <w:color w:val="231F20"/>
                <w:sz w:val="24"/>
                <w:szCs w:val="24"/>
                <w:lang w:val="en-GB"/>
              </w:rPr>
              <w:t>Corporate Governance.</w:t>
            </w:r>
            <w:r>
              <w:rPr>
                <w:rFonts w:ascii="Times New Roman" w:eastAsia="宋体" w:hAnsi="Times New Roman" w:cs="Times New Roman"/>
                <w:color w:val="231F20"/>
                <w:sz w:val="24"/>
                <w:szCs w:val="24"/>
                <w:lang w:val="en-GB"/>
              </w:rPr>
              <w:t xml:space="preserve"> </w:t>
            </w:r>
            <w:r w:rsidRPr="00A95529">
              <w:rPr>
                <w:rFonts w:ascii="Times New Roman" w:eastAsia="宋体" w:hAnsi="Times New Roman" w:cs="Times New Roman"/>
                <w:color w:val="231F20"/>
                <w:sz w:val="24"/>
                <w:szCs w:val="24"/>
                <w:lang w:val="en-GB"/>
              </w:rPr>
              <w:t>Tulane University and New York University Working Paper, 2000.</w:t>
            </w:r>
          </w:p>
          <w:p w14:paraId="338F4895" w14:textId="77777777" w:rsidR="00004E1B" w:rsidRPr="00A95529" w:rsidRDefault="00004E1B" w:rsidP="00004E1B">
            <w:pPr>
              <w:pStyle w:val="a7"/>
              <w:spacing w:before="2" w:line="276" w:lineRule="auto"/>
              <w:ind w:left="0" w:right="219"/>
              <w:jc w:val="left"/>
              <w:rPr>
                <w:rFonts w:ascii="Times New Roman" w:eastAsia="宋体" w:hAnsi="Times New Roman" w:cs="Times New Roman"/>
                <w:sz w:val="24"/>
                <w:szCs w:val="24"/>
                <w:lang w:val="en-GB"/>
              </w:rPr>
            </w:pPr>
            <w:r w:rsidRPr="00A95529">
              <w:rPr>
                <w:rFonts w:ascii="Times New Roman" w:eastAsia="宋体" w:hAnsi="Times New Roman" w:cs="Times New Roman"/>
                <w:color w:val="231F20"/>
                <w:sz w:val="24"/>
                <w:szCs w:val="24"/>
                <w:lang w:val="en-US"/>
              </w:rPr>
              <w:t>[</w:t>
            </w:r>
            <w:proofErr w:type="gramStart"/>
            <w:r w:rsidRPr="00A95529">
              <w:rPr>
                <w:rFonts w:ascii="Times New Roman" w:eastAsia="宋体" w:hAnsi="Times New Roman" w:cs="Times New Roman"/>
                <w:color w:val="231F20"/>
                <w:sz w:val="24"/>
                <w:szCs w:val="24"/>
                <w:lang w:val="en-US"/>
              </w:rPr>
              <w:t>20]</w:t>
            </w:r>
            <w:r w:rsidRPr="00A95529">
              <w:rPr>
                <w:rFonts w:ascii="Times New Roman" w:eastAsia="宋体" w:hAnsi="Times New Roman" w:cs="Times New Roman"/>
                <w:color w:val="231F20"/>
                <w:sz w:val="24"/>
                <w:szCs w:val="24"/>
                <w:lang w:val="en-GB"/>
              </w:rPr>
              <w:t>Brien</w:t>
            </w:r>
            <w:proofErr w:type="gramEnd"/>
            <w:r w:rsidRPr="00A95529">
              <w:rPr>
                <w:rFonts w:ascii="Times New Roman" w:eastAsia="宋体" w:hAnsi="Times New Roman" w:cs="Times New Roman"/>
                <w:color w:val="231F20"/>
                <w:sz w:val="24"/>
                <w:szCs w:val="24"/>
                <w:lang w:val="en-GB"/>
              </w:rPr>
              <w:t xml:space="preserve"> P C. Analyst Following and Institutional Ownership. Journal of Accounting Research, 2010.</w:t>
            </w:r>
          </w:p>
          <w:p w14:paraId="1AE04CFB" w14:textId="77777777" w:rsidR="00004E1B" w:rsidRPr="00A95529" w:rsidRDefault="00004E1B" w:rsidP="00004E1B">
            <w:pPr>
              <w:pStyle w:val="a7"/>
              <w:spacing w:before="1" w:line="276" w:lineRule="auto"/>
              <w:ind w:left="0" w:right="220"/>
              <w:jc w:val="left"/>
              <w:rPr>
                <w:rFonts w:ascii="Times New Roman" w:eastAsia="宋体" w:hAnsi="Times New Roman" w:cs="Times New Roman"/>
                <w:sz w:val="24"/>
                <w:szCs w:val="24"/>
                <w:lang w:val="en-GB"/>
              </w:rPr>
            </w:pPr>
            <w:r w:rsidRPr="00A95529">
              <w:rPr>
                <w:rFonts w:ascii="Times New Roman" w:eastAsia="宋体" w:hAnsi="Times New Roman" w:cs="Times New Roman"/>
                <w:color w:val="231F20"/>
                <w:spacing w:val="-11"/>
                <w:w w:val="90"/>
                <w:sz w:val="24"/>
                <w:szCs w:val="24"/>
                <w:lang w:val="en-US"/>
              </w:rPr>
              <w:t>[</w:t>
            </w:r>
            <w:proofErr w:type="gramStart"/>
            <w:r w:rsidRPr="00A95529">
              <w:rPr>
                <w:rFonts w:ascii="Times New Roman" w:eastAsia="宋体" w:hAnsi="Times New Roman" w:cs="Times New Roman"/>
                <w:color w:val="231F20"/>
                <w:spacing w:val="-11"/>
                <w:w w:val="90"/>
                <w:sz w:val="24"/>
                <w:szCs w:val="24"/>
                <w:lang w:val="en-US"/>
              </w:rPr>
              <w:t>21]</w:t>
            </w:r>
            <w:r w:rsidRPr="00A95529">
              <w:rPr>
                <w:rFonts w:ascii="Times New Roman" w:eastAsia="宋体" w:hAnsi="Times New Roman" w:cs="Times New Roman"/>
                <w:color w:val="231F20"/>
                <w:spacing w:val="-11"/>
                <w:w w:val="90"/>
                <w:sz w:val="24"/>
                <w:szCs w:val="24"/>
                <w:lang w:val="en-GB"/>
              </w:rPr>
              <w:t>Zingales</w:t>
            </w:r>
            <w:proofErr w:type="gramEnd"/>
            <w:r w:rsidRPr="00A95529">
              <w:rPr>
                <w:rFonts w:ascii="Times New Roman" w:eastAsia="宋体" w:hAnsi="Times New Roman" w:cs="Times New Roman"/>
                <w:color w:val="231F20"/>
                <w:spacing w:val="-11"/>
                <w:w w:val="90"/>
                <w:sz w:val="24"/>
                <w:szCs w:val="24"/>
                <w:lang w:val="en-GB"/>
              </w:rPr>
              <w:t xml:space="preserve"> </w:t>
            </w:r>
            <w:r w:rsidRPr="00A95529">
              <w:rPr>
                <w:rFonts w:ascii="Times New Roman" w:eastAsia="宋体" w:hAnsi="Times New Roman" w:cs="Times New Roman"/>
                <w:color w:val="231F20"/>
                <w:w w:val="90"/>
                <w:sz w:val="24"/>
                <w:szCs w:val="24"/>
                <w:lang w:val="en-GB"/>
              </w:rPr>
              <w:t>L. In Search of New Foundations</w:t>
            </w:r>
            <w:r w:rsidRPr="00A95529">
              <w:rPr>
                <w:rFonts w:ascii="Times New Roman" w:eastAsia="宋体" w:hAnsi="Times New Roman" w:cs="Times New Roman"/>
                <w:color w:val="231F20"/>
                <w:w w:val="90"/>
                <w:sz w:val="24"/>
                <w:szCs w:val="24"/>
                <w:lang w:val="en-GB"/>
              </w:rPr>
              <w:t>．</w:t>
            </w:r>
            <w:r w:rsidRPr="00A95529">
              <w:rPr>
                <w:rFonts w:ascii="Times New Roman" w:eastAsia="宋体" w:hAnsi="Times New Roman" w:cs="Times New Roman"/>
                <w:color w:val="231F20"/>
                <w:w w:val="90"/>
                <w:sz w:val="24"/>
                <w:szCs w:val="24"/>
                <w:lang w:val="en-GB"/>
              </w:rPr>
              <w:t xml:space="preserve">Journal of </w:t>
            </w:r>
            <w:r w:rsidRPr="00A95529">
              <w:rPr>
                <w:rFonts w:ascii="Times New Roman" w:eastAsia="宋体" w:hAnsi="Times New Roman" w:cs="Times New Roman"/>
                <w:color w:val="231F20"/>
                <w:sz w:val="24"/>
                <w:szCs w:val="24"/>
                <w:lang w:val="en-GB"/>
              </w:rPr>
              <w:t>Finance, 2004.</w:t>
            </w:r>
          </w:p>
          <w:p w14:paraId="29F5EC49" w14:textId="290C7CCC" w:rsidR="00004E1B" w:rsidRPr="008C2CFA" w:rsidRDefault="00004E1B" w:rsidP="00004E1B">
            <w:pPr>
              <w:pStyle w:val="Bodytext1"/>
              <w:spacing w:after="320" w:line="276" w:lineRule="auto"/>
              <w:ind w:firstLine="0"/>
              <w:jc w:val="left"/>
              <w:rPr>
                <w:rFonts w:ascii="Times New Roman" w:eastAsia="PMingLiU" w:hAnsi="Times New Roman" w:cs="Times New Roman"/>
                <w:color w:val="231F20"/>
                <w:w w:val="90"/>
                <w:sz w:val="24"/>
                <w:szCs w:val="24"/>
              </w:rPr>
            </w:pPr>
            <w:r w:rsidRPr="00A95529">
              <w:rPr>
                <w:rFonts w:ascii="Times New Roman" w:hAnsi="Times New Roman" w:cs="Times New Roman"/>
                <w:color w:val="231F20"/>
                <w:spacing w:val="-12"/>
                <w:w w:val="95"/>
                <w:sz w:val="24"/>
                <w:szCs w:val="24"/>
                <w:lang w:val="en-US" w:eastAsia="zh-CN"/>
              </w:rPr>
              <w:t>[22]</w:t>
            </w:r>
            <w:r w:rsidRPr="00A95529">
              <w:rPr>
                <w:rFonts w:ascii="Times New Roman" w:hAnsi="Times New Roman" w:cs="Times New Roman"/>
                <w:color w:val="231F20"/>
                <w:spacing w:val="-12"/>
                <w:w w:val="95"/>
                <w:sz w:val="24"/>
                <w:szCs w:val="24"/>
              </w:rPr>
              <w:t xml:space="preserve">Thomas </w:t>
            </w:r>
            <w:r w:rsidRPr="00A95529">
              <w:rPr>
                <w:rFonts w:ascii="Times New Roman" w:hAnsi="Times New Roman" w:cs="Times New Roman"/>
                <w:color w:val="231F20"/>
                <w:w w:val="95"/>
                <w:sz w:val="24"/>
                <w:szCs w:val="24"/>
              </w:rPr>
              <w:t xml:space="preserve">et al.Options Markets and the Information </w:t>
            </w:r>
            <w:r w:rsidRPr="00A95529">
              <w:rPr>
                <w:rFonts w:ascii="Times New Roman" w:hAnsi="Times New Roman" w:cs="Times New Roman"/>
                <w:color w:val="231F20"/>
                <w:sz w:val="24"/>
                <w:szCs w:val="24"/>
              </w:rPr>
              <w:t>Content of Accounting Earnings Releases</w:t>
            </w:r>
            <w:r w:rsidRPr="00A95529">
              <w:rPr>
                <w:rFonts w:ascii="Times New Roman" w:hAnsi="Times New Roman" w:cs="Times New Roman"/>
                <w:color w:val="231F20"/>
                <w:sz w:val="24"/>
                <w:szCs w:val="24"/>
              </w:rPr>
              <w:t>．</w:t>
            </w:r>
            <w:r w:rsidRPr="00A95529">
              <w:rPr>
                <w:rFonts w:ascii="Times New Roman" w:hAnsi="Times New Roman" w:cs="Times New Roman"/>
                <w:color w:val="231F20"/>
                <w:sz w:val="24"/>
                <w:szCs w:val="24"/>
              </w:rPr>
              <w:t xml:space="preserve">Journal of </w:t>
            </w:r>
            <w:r w:rsidRPr="00A95529">
              <w:rPr>
                <w:rFonts w:ascii="Times New Roman" w:hAnsi="Times New Roman" w:cs="Times New Roman"/>
                <w:color w:val="231F20"/>
                <w:w w:val="90"/>
                <w:sz w:val="24"/>
                <w:szCs w:val="24"/>
              </w:rPr>
              <w:t>Accounting</w:t>
            </w:r>
            <w:r>
              <w:rPr>
                <w:rFonts w:ascii="Times New Roman" w:eastAsia="PMingLiU"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w:t>
            </w:r>
            <w:r>
              <w:rPr>
                <w:rFonts w:ascii="Times New Roman" w:hAnsi="Times New Roman" w:cs="Times New Roman" w:hint="eastAsia"/>
                <w:color w:val="231F20"/>
                <w:w w:val="90"/>
                <w:sz w:val="24"/>
                <w:szCs w:val="24"/>
                <w:lang w:eastAsia="zh-CN"/>
              </w:rPr>
              <w:t xml:space="preserve"> </w:t>
            </w:r>
            <w:r w:rsidRPr="00A95529">
              <w:rPr>
                <w:rFonts w:ascii="Times New Roman" w:hAnsi="Times New Roman" w:cs="Times New Roman"/>
                <w:color w:val="231F20"/>
                <w:w w:val="90"/>
                <w:sz w:val="24"/>
                <w:szCs w:val="24"/>
              </w:rPr>
              <w:t>Economics</w:t>
            </w:r>
            <w:r w:rsidRPr="00A95529">
              <w:rPr>
                <w:rFonts w:ascii="Times New Roman" w:hAnsi="Times New Roman" w:cs="Times New Roman"/>
                <w:color w:val="231F20"/>
                <w:spacing w:val="-4"/>
                <w:w w:val="90"/>
                <w:sz w:val="24"/>
                <w:szCs w:val="24"/>
              </w:rPr>
              <w:t xml:space="preserve">, </w:t>
            </w:r>
            <w:r w:rsidRPr="00A95529">
              <w:rPr>
                <w:rFonts w:ascii="Times New Roman" w:hAnsi="Times New Roman" w:cs="Times New Roman"/>
                <w:color w:val="231F20"/>
                <w:w w:val="90"/>
                <w:sz w:val="24"/>
                <w:szCs w:val="24"/>
              </w:rPr>
              <w:lastRenderedPageBreak/>
              <w:t>1991</w:t>
            </w:r>
            <w:r>
              <w:rPr>
                <w:rFonts w:ascii="Times New Roman" w:eastAsia="PMingLiU" w:hAnsi="Times New Roman" w:cs="Times New Roman"/>
                <w:color w:val="231F20"/>
                <w:w w:val="90"/>
                <w:sz w:val="24"/>
                <w:szCs w:val="24"/>
              </w:rPr>
              <w:t>.</w:t>
            </w:r>
          </w:p>
          <w:p w14:paraId="5A7681B6" w14:textId="7680181D" w:rsidR="00004E1B" w:rsidRPr="00A95529" w:rsidRDefault="00004E1B" w:rsidP="00004E1B">
            <w:pPr>
              <w:pStyle w:val="Bodytext1"/>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[1]</w:t>
            </w:r>
            <w:r w:rsidRPr="00A95529">
              <w:rPr>
                <w:rFonts w:ascii="Times New Roman" w:hAnsi="Times New Roman" w:cs="Times New Roman"/>
                <w:color w:val="231F20"/>
                <w:w w:val="90"/>
                <w:sz w:val="24"/>
                <w:szCs w:val="24"/>
              </w:rPr>
              <w:t>马连福</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王丽丽</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张琦</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投资者关系管理对股权融资约束的影响及路径研究</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来自创新型中小企业的经验证据</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财贸研究</w:t>
            </w:r>
            <w:r w:rsidRPr="00A95529">
              <w:rPr>
                <w:rFonts w:ascii="Times New Roman" w:hAnsi="Times New Roman" w:cs="Times New Roman"/>
                <w:color w:val="231F20"/>
                <w:w w:val="90"/>
                <w:sz w:val="24"/>
                <w:szCs w:val="24"/>
              </w:rPr>
              <w:t>, 2015(1).</w:t>
            </w:r>
          </w:p>
          <w:p w14:paraId="0F5B111D" w14:textId="7227C8E4"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w:t>
            </w:r>
            <w:r w:rsidRPr="00A95529">
              <w:rPr>
                <w:rFonts w:ascii="Times New Roman" w:eastAsia="PMingLiU" w:hAnsi="Times New Roman" w:cs="Times New Roman"/>
                <w:color w:val="231F20"/>
                <w:w w:val="90"/>
                <w:sz w:val="24"/>
                <w:szCs w:val="24"/>
              </w:rPr>
              <w:t>2</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李园园</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融资约束</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风险承担与战略性新兴产业企业创新效率</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科技创业月刊</w:t>
            </w:r>
            <w:r w:rsidRPr="00A95529">
              <w:rPr>
                <w:rFonts w:ascii="Times New Roman" w:hAnsi="Times New Roman" w:cs="Times New Roman"/>
                <w:color w:val="231F20"/>
                <w:w w:val="90"/>
                <w:sz w:val="24"/>
                <w:szCs w:val="24"/>
              </w:rPr>
              <w:t>, 2020, v.33(08):54-57.</w:t>
            </w:r>
          </w:p>
          <w:p w14:paraId="382826BC" w14:textId="0379DB9A" w:rsidR="00004E1B" w:rsidRDefault="00004E1B" w:rsidP="00004E1B">
            <w:pPr>
              <w:pStyle w:val="Bodytext1"/>
              <w:tabs>
                <w:tab w:val="left" w:pos="312"/>
              </w:tabs>
              <w:spacing w:line="276" w:lineRule="auto"/>
              <w:ind w:firstLine="0"/>
              <w:jc w:val="left"/>
              <w:rPr>
                <w:rFonts w:ascii="Times New Roman" w:eastAsia="PMingLiU" w:hAnsi="Times New Roman" w:cs="Times New Roman"/>
                <w:color w:val="231F20"/>
                <w:w w:val="90"/>
                <w:sz w:val="24"/>
                <w:szCs w:val="24"/>
              </w:rPr>
            </w:pPr>
            <w:r w:rsidRPr="00A95529">
              <w:rPr>
                <w:rFonts w:ascii="Times New Roman" w:hAnsi="Times New Roman" w:cs="Times New Roman"/>
                <w:color w:val="231F20"/>
                <w:w w:val="90"/>
                <w:sz w:val="24"/>
                <w:szCs w:val="24"/>
              </w:rPr>
              <w:t>[</w:t>
            </w:r>
            <w:r w:rsidRPr="00A95529">
              <w:rPr>
                <w:rFonts w:ascii="Times New Roman" w:eastAsia="PMingLiU" w:hAnsi="Times New Roman" w:cs="Times New Roman"/>
                <w:color w:val="231F20"/>
                <w:w w:val="90"/>
                <w:sz w:val="24"/>
                <w:szCs w:val="24"/>
              </w:rPr>
              <w:t>3</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程小可</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姜永盛</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郑立东</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影子银行、企业风险承担与融资约束</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经济管理</w:t>
            </w:r>
            <w:r w:rsidRPr="00A95529">
              <w:rPr>
                <w:rFonts w:ascii="Times New Roman" w:hAnsi="Times New Roman" w:cs="Times New Roman"/>
                <w:color w:val="231F20"/>
                <w:w w:val="90"/>
                <w:sz w:val="24"/>
                <w:szCs w:val="24"/>
              </w:rPr>
              <w:t>, 2015(04):106-115.</w:t>
            </w:r>
          </w:p>
          <w:p w14:paraId="74CE4ED3" w14:textId="55FED6D2" w:rsidR="00004E1B" w:rsidRPr="00C00A7D" w:rsidRDefault="00004E1B" w:rsidP="00004E1B">
            <w:pPr>
              <w:pStyle w:val="Bodytext1"/>
              <w:tabs>
                <w:tab w:val="left" w:pos="312"/>
              </w:tabs>
              <w:spacing w:line="276" w:lineRule="auto"/>
              <w:ind w:firstLine="0"/>
              <w:jc w:val="left"/>
              <w:rPr>
                <w:rFonts w:ascii="Times New Roman" w:eastAsia="PMingLiU" w:hAnsi="Times New Roman" w:cs="Times New Roman"/>
                <w:color w:val="231F20"/>
                <w:w w:val="90"/>
                <w:sz w:val="24"/>
                <w:szCs w:val="24"/>
              </w:rPr>
            </w:pPr>
            <w:r>
              <w:rPr>
                <w:rFonts w:ascii="Times New Roman" w:eastAsiaTheme="minorEastAsia"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4]</w:t>
            </w:r>
            <w:r w:rsidRPr="008C2CFA">
              <w:rPr>
                <w:rFonts w:ascii="Times New Roman" w:hAnsi="Times New Roman" w:cs="Times New Roman"/>
                <w:color w:val="231F20"/>
                <w:w w:val="90"/>
                <w:sz w:val="24"/>
                <w:szCs w:val="24"/>
              </w:rPr>
              <w:t>胡永平</w:t>
            </w:r>
            <w:r>
              <w:rPr>
                <w:rFonts w:ascii="Times New Roman"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rPr>
              <w:t>徐俊超</w:t>
            </w:r>
            <w:r>
              <w:rPr>
                <w:rFonts w:ascii="Times New Roman"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rPr>
              <w:t>蔡红</w:t>
            </w:r>
            <w:r w:rsidRPr="008C2CFA">
              <w:rPr>
                <w:rFonts w:ascii="Times New Roman" w:hAnsi="Times New Roman" w:cs="Times New Roman"/>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lang w:eastAsia="zh-CN"/>
              </w:rPr>
              <w:t>风险投资</w:t>
            </w:r>
            <w:r>
              <w:rPr>
                <w:rFonts w:ascii="Times New Roman"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lang w:eastAsia="zh-CN"/>
              </w:rPr>
              <w:t>融资约束对企业研发支出的影响研究</w:t>
            </w:r>
            <w:r w:rsidRPr="008C2CFA">
              <w:rPr>
                <w:rFonts w:ascii="Times New Roman" w:hAnsi="Times New Roman" w:cs="Times New Roman"/>
                <w:color w:val="231F20"/>
                <w:w w:val="90"/>
                <w:sz w:val="24"/>
                <w:szCs w:val="24"/>
                <w:lang w:eastAsia="zh-CN"/>
              </w:rPr>
              <w:t>[</w:t>
            </w:r>
            <w:r w:rsidRPr="008C2CFA">
              <w:rPr>
                <w:rFonts w:ascii="Times New Roman" w:hAnsi="Times New Roman" w:cs="Times New Roman"/>
                <w:color w:val="231F20"/>
                <w:w w:val="90"/>
                <w:sz w:val="24"/>
                <w:szCs w:val="24"/>
              </w:rPr>
              <w:t>J].</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rPr>
              <w:t>财会通讯</w:t>
            </w:r>
            <w:r>
              <w:rPr>
                <w:rFonts w:ascii="Times New Roman"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rPr>
              <w:t>2016</w:t>
            </w:r>
            <w:r>
              <w:rPr>
                <w:rFonts w:ascii="Times New Roman" w:hAnsi="Times New Roman" w:cs="Times New Roman" w:hint="eastAsia"/>
                <w:color w:val="231F20"/>
                <w:w w:val="90"/>
                <w:sz w:val="24"/>
                <w:szCs w:val="24"/>
                <w:lang w:eastAsia="zh-CN"/>
              </w:rPr>
              <w:t>,</w:t>
            </w:r>
            <w:r>
              <w:rPr>
                <w:rFonts w:ascii="Times New Roman" w:eastAsia="PMingLiU" w:hAnsi="Times New Roman" w:cs="Times New Roman"/>
                <w:color w:val="231F20"/>
                <w:w w:val="90"/>
                <w:sz w:val="24"/>
                <w:szCs w:val="24"/>
              </w:rPr>
              <w:t xml:space="preserve"> </w:t>
            </w:r>
            <w:r w:rsidRPr="008C2CFA">
              <w:rPr>
                <w:rFonts w:ascii="Times New Roman" w:hAnsi="Times New Roman" w:cs="Times New Roman"/>
                <w:color w:val="231F20"/>
                <w:w w:val="90"/>
                <w:sz w:val="24"/>
                <w:szCs w:val="24"/>
              </w:rPr>
              <w:t>09</w:t>
            </w:r>
            <w:r>
              <w:rPr>
                <w:rFonts w:ascii="Times New Roman" w:hAnsi="Times New Roman" w:cs="Times New Roman" w:hint="eastAsia"/>
                <w:color w:val="231F20"/>
                <w:w w:val="90"/>
                <w:sz w:val="24"/>
                <w:szCs w:val="24"/>
                <w:lang w:eastAsia="zh-CN"/>
              </w:rPr>
              <w:t>(</w:t>
            </w:r>
            <w:r w:rsidRPr="008C2CFA">
              <w:rPr>
                <w:rFonts w:ascii="Times New Roman" w:hAnsi="Times New Roman" w:cs="Times New Roman"/>
                <w:color w:val="231F20"/>
                <w:w w:val="90"/>
                <w:sz w:val="24"/>
                <w:szCs w:val="24"/>
                <w:lang w:eastAsia="zh-CN"/>
              </w:rPr>
              <w:t>No</w:t>
            </w:r>
            <w:r w:rsidRPr="008C2CFA">
              <w:rPr>
                <w:rFonts w:ascii="Times New Roman" w:hAnsi="Times New Roman" w:cs="Times New Roman"/>
                <w:color w:val="231F20"/>
                <w:w w:val="90"/>
                <w:sz w:val="24"/>
                <w:szCs w:val="24"/>
              </w:rPr>
              <w:t>.701</w:t>
            </w:r>
            <w:r>
              <w:rPr>
                <w:rFonts w:ascii="Times New Roman" w:hAnsi="Times New Roman" w:cs="Times New Roman" w:hint="eastAsia"/>
                <w:color w:val="231F20"/>
                <w:w w:val="90"/>
                <w:sz w:val="24"/>
                <w:szCs w:val="24"/>
                <w:lang w:eastAsia="zh-CN"/>
              </w:rPr>
              <w:t>)</w:t>
            </w:r>
            <w:r w:rsidRPr="008C2CFA">
              <w:rPr>
                <w:rFonts w:ascii="Times New Roman" w:hAnsi="Times New Roman" w:cs="Times New Roman"/>
                <w:color w:val="231F20"/>
                <w:w w:val="90"/>
                <w:sz w:val="24"/>
                <w:szCs w:val="24"/>
                <w:lang w:eastAsia="zh-CN"/>
              </w:rPr>
              <w:t>:</w:t>
            </w:r>
            <w:r w:rsidRPr="008C2CFA">
              <w:rPr>
                <w:rFonts w:ascii="Times New Roman" w:hAnsi="Times New Roman" w:cs="Times New Roman"/>
                <w:color w:val="231F20"/>
                <w:w w:val="90"/>
                <w:sz w:val="24"/>
                <w:szCs w:val="24"/>
              </w:rPr>
              <w:t>120-122</w:t>
            </w:r>
            <w:r>
              <w:rPr>
                <w:rFonts w:ascii="Times New Roman" w:eastAsia="PMingLiU" w:hAnsi="Times New Roman" w:cs="Times New Roman"/>
                <w:color w:val="231F20"/>
                <w:w w:val="90"/>
                <w:sz w:val="24"/>
                <w:szCs w:val="24"/>
              </w:rPr>
              <w:t>.</w:t>
            </w:r>
          </w:p>
          <w:p w14:paraId="29B2DAEE" w14:textId="1DF0C736"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[5]</w:t>
            </w:r>
            <w:r w:rsidRPr="00A95529">
              <w:rPr>
                <w:rFonts w:ascii="Times New Roman" w:hAnsi="Times New Roman" w:cs="Times New Roman"/>
                <w:color w:val="231F20"/>
                <w:w w:val="90"/>
                <w:sz w:val="24"/>
                <w:szCs w:val="24"/>
              </w:rPr>
              <w:t>曹献飞</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于诚</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外部融资约束加剧了企业生存风险吗</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基于</w:t>
            </w:r>
            <w:r w:rsidRPr="00A95529">
              <w:rPr>
                <w:rFonts w:ascii="Times New Roman" w:hAnsi="Times New Roman" w:cs="Times New Roman"/>
                <w:color w:val="231F20"/>
                <w:w w:val="90"/>
                <w:sz w:val="24"/>
                <w:szCs w:val="24"/>
              </w:rPr>
              <w:t>Cox</w:t>
            </w:r>
            <w:r w:rsidRPr="00A95529">
              <w:rPr>
                <w:rFonts w:ascii="Times New Roman" w:hAnsi="Times New Roman" w:cs="Times New Roman"/>
                <w:color w:val="231F20"/>
                <w:w w:val="90"/>
                <w:sz w:val="24"/>
                <w:szCs w:val="24"/>
              </w:rPr>
              <w:t>比例风险模型的经验分析</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中央财经大学学报</w:t>
            </w:r>
            <w:r w:rsidRPr="00A95529">
              <w:rPr>
                <w:rFonts w:ascii="Times New Roman" w:hAnsi="Times New Roman" w:cs="Times New Roman"/>
                <w:color w:val="231F20"/>
                <w:w w:val="90"/>
                <w:sz w:val="24"/>
                <w:szCs w:val="24"/>
              </w:rPr>
              <w:t>, 2015.</w:t>
            </w:r>
          </w:p>
          <w:p w14:paraId="4D85B40D" w14:textId="432CD21B"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[6]</w:t>
            </w:r>
            <w:r w:rsidRPr="00A95529">
              <w:rPr>
                <w:rFonts w:ascii="Times New Roman" w:hAnsi="Times New Roman" w:cs="Times New Roman"/>
                <w:color w:val="231F20"/>
                <w:w w:val="90"/>
                <w:sz w:val="24"/>
                <w:szCs w:val="24"/>
              </w:rPr>
              <w:t>王竹泉</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韩星佳</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企业的政府社会资本禀赋对融资约束的影响研究</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资源配置中政府作用的资本市场证据</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当代财经</w:t>
            </w:r>
            <w:r w:rsidRPr="00A95529">
              <w:rPr>
                <w:rFonts w:ascii="Times New Roman" w:hAnsi="Times New Roman" w:cs="Times New Roman"/>
                <w:color w:val="231F20"/>
                <w:w w:val="90"/>
                <w:sz w:val="24"/>
                <w:szCs w:val="24"/>
              </w:rPr>
              <w:t>, 2018(10).</w:t>
            </w:r>
          </w:p>
          <w:p w14:paraId="1D593D87" w14:textId="10D1DCB4"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[7]</w:t>
            </w:r>
            <w:r w:rsidRPr="00A95529">
              <w:rPr>
                <w:rFonts w:ascii="Times New Roman" w:hAnsi="Times New Roman" w:cs="Times New Roman"/>
                <w:color w:val="231F20"/>
                <w:w w:val="90"/>
                <w:sz w:val="24"/>
                <w:szCs w:val="24"/>
              </w:rPr>
              <w:t>兰艳泽</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魏乙丹</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金融关联、商业信用对企业融资约束的影响</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基于我国民营上市公司的实证研究</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商业经济研究</w:t>
            </w:r>
            <w:r w:rsidRPr="00A95529">
              <w:rPr>
                <w:rFonts w:ascii="Times New Roman" w:hAnsi="Times New Roman" w:cs="Times New Roman"/>
                <w:color w:val="231F20"/>
                <w:w w:val="90"/>
                <w:sz w:val="24"/>
                <w:szCs w:val="24"/>
              </w:rPr>
              <w:t>, 2019, 766(03):165-168.</w:t>
            </w:r>
          </w:p>
          <w:p w14:paraId="039A1F9D" w14:textId="3A46D888"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[8]</w:t>
            </w:r>
            <w:r w:rsidRPr="00A95529">
              <w:rPr>
                <w:rFonts w:ascii="Times New Roman" w:hAnsi="Times New Roman" w:cs="Times New Roman"/>
                <w:color w:val="231F20"/>
                <w:w w:val="90"/>
                <w:sz w:val="24"/>
                <w:szCs w:val="24"/>
              </w:rPr>
              <w:t>花冯涛</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公司特质风险能够影响企业的投资行为吗</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基于融资约束的视角</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安徽师范大学学报（人文社会科学版）</w:t>
            </w:r>
            <w:r w:rsidRPr="00A95529">
              <w:rPr>
                <w:rFonts w:ascii="Times New Roman" w:hAnsi="Times New Roman" w:cs="Times New Roman"/>
                <w:color w:val="231F20"/>
                <w:w w:val="90"/>
                <w:sz w:val="24"/>
                <w:szCs w:val="24"/>
              </w:rPr>
              <w:t>, 2018, 046(001):108-118.</w:t>
            </w:r>
          </w:p>
          <w:p w14:paraId="4ABB8D05" w14:textId="0CD4FC05"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[9]</w:t>
            </w:r>
            <w:r w:rsidRPr="00A95529">
              <w:rPr>
                <w:rFonts w:ascii="Times New Roman" w:hAnsi="Times New Roman" w:cs="Times New Roman"/>
                <w:color w:val="231F20"/>
                <w:w w:val="90"/>
                <w:sz w:val="24"/>
                <w:szCs w:val="24"/>
              </w:rPr>
              <w:t>朱永明</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刘敏</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我国制造业企业社会责任与研发投入关系研究</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基于融资约束的中介作用</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会计之友</w:t>
            </w:r>
            <w:r w:rsidRPr="00A95529">
              <w:rPr>
                <w:rFonts w:ascii="Times New Roman" w:hAnsi="Times New Roman" w:cs="Times New Roman"/>
                <w:color w:val="231F20"/>
                <w:w w:val="90"/>
                <w:sz w:val="24"/>
                <w:szCs w:val="24"/>
              </w:rPr>
              <w:t>, 2019, 606(06):85-90.</w:t>
            </w:r>
          </w:p>
          <w:p w14:paraId="181DE17E" w14:textId="43303378" w:rsidR="00004E1B" w:rsidRPr="00A95529" w:rsidRDefault="00004E1B" w:rsidP="00004E1B">
            <w:pPr>
              <w:pStyle w:val="Bodytext1"/>
              <w:tabs>
                <w:tab w:val="left" w:pos="312"/>
              </w:tabs>
              <w:spacing w:line="276" w:lineRule="auto"/>
              <w:ind w:firstLine="0"/>
              <w:jc w:val="left"/>
              <w:rPr>
                <w:rFonts w:ascii="Times New Roman" w:hAnsi="Times New Roman" w:cs="Times New Roman"/>
                <w:color w:val="231F20"/>
                <w:w w:val="90"/>
                <w:sz w:val="24"/>
                <w:szCs w:val="24"/>
              </w:rPr>
            </w:pPr>
            <w:r w:rsidRPr="00A95529">
              <w:rPr>
                <w:rFonts w:ascii="Times New Roman" w:hAnsi="Times New Roman" w:cs="Times New Roman"/>
                <w:color w:val="231F20"/>
                <w:w w:val="90"/>
                <w:sz w:val="24"/>
                <w:szCs w:val="24"/>
              </w:rPr>
              <w:t>[10]</w:t>
            </w:r>
            <w:r w:rsidRPr="00A95529">
              <w:rPr>
                <w:rFonts w:ascii="Times New Roman" w:hAnsi="Times New Roman" w:cs="Times New Roman"/>
                <w:color w:val="231F20"/>
                <w:w w:val="90"/>
                <w:sz w:val="24"/>
                <w:szCs w:val="24"/>
              </w:rPr>
              <w:t>徐保昌</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李思慧</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金融市场化与企业融资约束</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国企属性和企业规模真的重要吗</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云南财经大学学报</w:t>
            </w:r>
            <w:r w:rsidRPr="00A95529">
              <w:rPr>
                <w:rFonts w:ascii="Times New Roman" w:hAnsi="Times New Roman" w:cs="Times New Roman"/>
                <w:color w:val="231F20"/>
                <w:w w:val="90"/>
                <w:sz w:val="24"/>
                <w:szCs w:val="24"/>
              </w:rPr>
              <w:t>, 2019, 035(002):47-58.</w:t>
            </w:r>
          </w:p>
          <w:p w14:paraId="62D0039F" w14:textId="6127DE39" w:rsidR="00004E1B" w:rsidRPr="00C00A7D" w:rsidRDefault="00004E1B" w:rsidP="00004E1B">
            <w:pPr>
              <w:pStyle w:val="Bodytext1"/>
              <w:tabs>
                <w:tab w:val="left" w:pos="312"/>
              </w:tabs>
              <w:spacing w:line="276" w:lineRule="auto"/>
              <w:ind w:firstLine="0"/>
              <w:jc w:val="left"/>
              <w:rPr>
                <w:rFonts w:ascii="Times New Roman" w:eastAsia="PMingLiU" w:hAnsi="Times New Roman" w:cs="Times New Roman"/>
                <w:color w:val="231F20"/>
                <w:w w:val="90"/>
              </w:rPr>
            </w:pPr>
            <w:r w:rsidRPr="00A95529">
              <w:rPr>
                <w:rFonts w:ascii="Times New Roman" w:hAnsi="Times New Roman" w:cs="Times New Roman"/>
                <w:color w:val="231F20"/>
                <w:w w:val="90"/>
                <w:sz w:val="24"/>
                <w:szCs w:val="24"/>
              </w:rPr>
              <w:t>[11]</w:t>
            </w:r>
            <w:r w:rsidRPr="00A95529">
              <w:rPr>
                <w:rFonts w:ascii="Times New Roman" w:hAnsi="Times New Roman" w:cs="Times New Roman"/>
                <w:color w:val="231F20"/>
                <w:w w:val="90"/>
                <w:sz w:val="24"/>
                <w:szCs w:val="24"/>
              </w:rPr>
              <w:t>王凤荣</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慕庆宇</w:t>
            </w:r>
            <w:r w:rsidRPr="00A95529">
              <w:rPr>
                <w:rFonts w:ascii="Times New Roman" w:hAnsi="Times New Roman" w:cs="Times New Roman"/>
                <w:color w:val="231F20"/>
                <w:w w:val="90"/>
                <w:sz w:val="24"/>
                <w:szCs w:val="24"/>
              </w:rPr>
              <w:t xml:space="preserve">. </w:t>
            </w:r>
            <w:r w:rsidRPr="00A95529">
              <w:rPr>
                <w:rFonts w:ascii="Times New Roman" w:hAnsi="Times New Roman" w:cs="Times New Roman"/>
                <w:color w:val="231F20"/>
                <w:w w:val="90"/>
                <w:sz w:val="24"/>
                <w:szCs w:val="24"/>
              </w:rPr>
              <w:t>政府干预异质性、中小银行发展与中小企业融资约束</w:t>
            </w:r>
            <w:r w:rsidRPr="00A95529">
              <w:rPr>
                <w:rFonts w:ascii="Times New Roman" w:hAnsi="Times New Roman" w:cs="Times New Roman"/>
                <w:color w:val="231F20"/>
                <w:w w:val="90"/>
                <w:sz w:val="24"/>
                <w:szCs w:val="24"/>
              </w:rPr>
              <w:t>——</w:t>
            </w:r>
            <w:r w:rsidRPr="00A95529">
              <w:rPr>
                <w:rFonts w:ascii="Times New Roman" w:hAnsi="Times New Roman" w:cs="Times New Roman"/>
                <w:color w:val="231F20"/>
                <w:w w:val="90"/>
                <w:sz w:val="24"/>
                <w:szCs w:val="24"/>
              </w:rPr>
              <w:t>结合经济换挡背景的分析</w:t>
            </w:r>
            <w:r w:rsidRPr="00A95529">
              <w:rPr>
                <w:rFonts w:ascii="Times New Roman" w:hAnsi="Times New Roman" w:cs="Times New Roman"/>
                <w:color w:val="231F20"/>
                <w:w w:val="90"/>
                <w:sz w:val="24"/>
                <w:szCs w:val="24"/>
              </w:rPr>
              <w:t xml:space="preserve">[J]. </w:t>
            </w:r>
            <w:r w:rsidRPr="00A95529">
              <w:rPr>
                <w:rFonts w:ascii="Times New Roman" w:hAnsi="Times New Roman" w:cs="Times New Roman"/>
                <w:color w:val="231F20"/>
                <w:w w:val="90"/>
                <w:sz w:val="24"/>
                <w:szCs w:val="24"/>
              </w:rPr>
              <w:t>经济与管理研究</w:t>
            </w:r>
            <w:r w:rsidRPr="00A95529">
              <w:rPr>
                <w:rFonts w:ascii="Times New Roman" w:hAnsi="Times New Roman" w:cs="Times New Roman"/>
                <w:color w:val="231F20"/>
                <w:w w:val="90"/>
                <w:sz w:val="24"/>
                <w:szCs w:val="24"/>
              </w:rPr>
              <w:t>, 2019, 040(005):47-60.</w:t>
            </w:r>
          </w:p>
          <w:p w14:paraId="28D3A108" w14:textId="77777777" w:rsidR="00004E1B" w:rsidRPr="00813571" w:rsidRDefault="00004E1B" w:rsidP="00004E1B">
            <w:pPr>
              <w:rPr>
                <w:rFonts w:ascii="宋体" w:eastAsia="宋体" w:hAnsi="宋体" w:cs="宋体"/>
                <w:color w:val="000000"/>
                <w:kern w:val="0"/>
                <w:sz w:val="18"/>
                <w:szCs w:val="18"/>
              </w:rPr>
            </w:pPr>
          </w:p>
        </w:tc>
      </w:tr>
    </w:tbl>
    <w:p w14:paraId="272563F8" w14:textId="6078AD05" w:rsidR="001C3791" w:rsidRDefault="00AB5DD7" w:rsidP="001C3791">
      <w:pPr>
        <w:ind w:firstLineChars="200" w:firstLine="422"/>
        <w:rPr>
          <w:rFonts w:ascii="宋体" w:eastAsia="宋体" w:hAnsi="宋体"/>
          <w:b/>
          <w:bCs/>
          <w:color w:val="FF0000"/>
        </w:rPr>
      </w:pPr>
      <w:bookmarkStart w:id="8" w:name="_Hlk72828711"/>
      <w:r w:rsidRPr="00AB5DD7">
        <w:rPr>
          <w:rFonts w:ascii="宋体" w:eastAsia="宋体" w:hAnsi="宋体" w:hint="eastAsia"/>
          <w:b/>
          <w:bCs/>
          <w:color w:val="FF0000"/>
        </w:rPr>
        <w:lastRenderedPageBreak/>
        <w:t>注：1、请认真填写各项信息，</w:t>
      </w:r>
      <w:r w:rsidR="001C3791" w:rsidRPr="001C3791">
        <w:rPr>
          <w:rFonts w:ascii="宋体" w:eastAsia="宋体" w:hAnsi="宋体"/>
          <w:b/>
          <w:bCs/>
          <w:color w:val="FF0000"/>
        </w:rPr>
        <w:t>根据学员</w:t>
      </w:r>
      <w:r w:rsidR="001C3791">
        <w:rPr>
          <w:rFonts w:ascii="宋体" w:eastAsia="宋体" w:hAnsi="宋体" w:hint="eastAsia"/>
          <w:b/>
          <w:bCs/>
          <w:color w:val="FF0000"/>
        </w:rPr>
        <w:t>相关情况和拟定</w:t>
      </w:r>
      <w:r w:rsidR="001C3791" w:rsidRPr="001C3791">
        <w:rPr>
          <w:rFonts w:ascii="宋体" w:eastAsia="宋体" w:hAnsi="宋体"/>
          <w:b/>
          <w:bCs/>
          <w:color w:val="FF0000"/>
        </w:rPr>
        <w:t>论文方向，由院系统</w:t>
      </w:r>
      <w:proofErr w:type="gramStart"/>
      <w:r w:rsidR="001C3791" w:rsidRPr="001C3791">
        <w:rPr>
          <w:rFonts w:ascii="宋体" w:eastAsia="宋体" w:hAnsi="宋体"/>
          <w:b/>
          <w:bCs/>
          <w:color w:val="FF0000"/>
        </w:rPr>
        <w:t>一</w:t>
      </w:r>
      <w:proofErr w:type="gramEnd"/>
      <w:r w:rsidR="001C3791" w:rsidRPr="001C3791">
        <w:rPr>
          <w:rFonts w:ascii="宋体" w:eastAsia="宋体" w:hAnsi="宋体"/>
          <w:b/>
          <w:bCs/>
          <w:color w:val="FF0000"/>
        </w:rPr>
        <w:t>分配指导老师。</w:t>
      </w:r>
    </w:p>
    <w:p w14:paraId="2B18AB10" w14:textId="58E0630B" w:rsidR="00AB5DD7" w:rsidRPr="00AB5DD7" w:rsidRDefault="001C3791" w:rsidP="001F2172">
      <w:pPr>
        <w:ind w:firstLineChars="200" w:firstLine="422"/>
        <w:rPr>
          <w:rFonts w:ascii="宋体" w:eastAsia="宋体" w:hAnsi="宋体"/>
        </w:rPr>
      </w:pPr>
      <w:r>
        <w:rPr>
          <w:rFonts w:ascii="宋体" w:eastAsia="宋体" w:hAnsi="宋体" w:hint="eastAsia"/>
          <w:b/>
          <w:bCs/>
          <w:color w:val="FF0000"/>
        </w:rPr>
        <w:t>2</w:t>
      </w:r>
      <w:r w:rsidR="00AB5DD7" w:rsidRPr="00AB5DD7">
        <w:rPr>
          <w:rFonts w:ascii="宋体" w:eastAsia="宋体" w:hAnsi="宋体" w:hint="eastAsia"/>
          <w:b/>
          <w:bCs/>
          <w:color w:val="FF0000"/>
        </w:rPr>
        <w:t>、</w:t>
      </w:r>
      <w:r w:rsidR="001F2172" w:rsidRPr="001F2172">
        <w:rPr>
          <w:rFonts w:ascii="宋体" w:eastAsia="宋体" w:hAnsi="宋体" w:hint="eastAsia"/>
          <w:b/>
          <w:bCs/>
          <w:color w:val="FF0000"/>
        </w:rPr>
        <w:t>论文答辩期限以成绩单里“考试日期”列中最后一个日期开始计时，一年半内必须完成</w:t>
      </w:r>
      <w:r w:rsidR="00E5705C">
        <w:rPr>
          <w:rFonts w:ascii="宋体" w:eastAsia="宋体" w:hAnsi="宋体" w:hint="eastAsia"/>
          <w:b/>
          <w:bCs/>
          <w:color w:val="FF0000"/>
        </w:rPr>
        <w:t>（包括二答）</w:t>
      </w:r>
      <w:r w:rsidR="001F2172" w:rsidRPr="001F2172">
        <w:rPr>
          <w:rFonts w:ascii="宋体" w:eastAsia="宋体" w:hAnsi="宋体" w:hint="eastAsia"/>
          <w:b/>
          <w:bCs/>
          <w:color w:val="FF0000"/>
        </w:rPr>
        <w:t>，期间只能选择一个时间节点答辩，逾期视为自动放弃答辩资格，学位申请无效，无法延期。</w:t>
      </w:r>
      <w:bookmarkEnd w:id="8"/>
    </w:p>
    <w:p w14:paraId="0C3FA7A7" w14:textId="77777777" w:rsidR="00004E1B" w:rsidRPr="00AB5DD7" w:rsidRDefault="00004E1B">
      <w:pPr>
        <w:ind w:firstLineChars="200" w:firstLine="420"/>
        <w:rPr>
          <w:rFonts w:ascii="宋体" w:eastAsia="宋体" w:hAnsi="宋体"/>
        </w:rPr>
      </w:pPr>
    </w:p>
    <w:sectPr w:rsidR="00004E1B" w:rsidRPr="00AB5DD7" w:rsidSect="00AB5DD7">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E20A1D" w14:textId="77777777" w:rsidR="00513270" w:rsidRDefault="00513270" w:rsidP="009016AB">
      <w:r>
        <w:separator/>
      </w:r>
    </w:p>
  </w:endnote>
  <w:endnote w:type="continuationSeparator" w:id="0">
    <w:p w14:paraId="3545E5AB" w14:textId="77777777" w:rsidR="00513270" w:rsidRDefault="00513270" w:rsidP="009016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Unicode MS">
    <w:altName w:val="Malgun Gothic Semilight"/>
    <w:panose1 w:val="020B0604020202020204"/>
    <w:charset w:val="86"/>
    <w:family w:val="swiss"/>
    <w:pitch w:val="variable"/>
    <w:sig w:usb0="F7FFAFFF" w:usb1="E9DFFFFF" w:usb2="0000003F" w:usb3="00000000" w:csb0="003F01FF" w:csb1="00000000"/>
  </w:font>
  <w:font w:name="PMingLiU">
    <w:altName w:val="新細明體"/>
    <w:panose1 w:val="02010601000101010101"/>
    <w:charset w:val="88"/>
    <w:family w:val="roman"/>
    <w:pitch w:val="variable"/>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0BF35B" w14:textId="77777777" w:rsidR="00513270" w:rsidRDefault="00513270" w:rsidP="009016AB">
      <w:r>
        <w:separator/>
      </w:r>
    </w:p>
  </w:footnote>
  <w:footnote w:type="continuationSeparator" w:id="0">
    <w:p w14:paraId="3613C1DA" w14:textId="77777777" w:rsidR="00513270" w:rsidRDefault="00513270" w:rsidP="009016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BC837A95"/>
    <w:multiLevelType w:val="singleLevel"/>
    <w:tmpl w:val="BC837A95"/>
    <w:lvl w:ilvl="0">
      <w:start w:val="1"/>
      <w:numFmt w:val="decimal"/>
      <w:lvlText w:val="(%1)"/>
      <w:lvlJc w:val="left"/>
      <w:rPr>
        <w:rFonts w:ascii="宋体" w:eastAsia="宋体" w:hAnsi="宋体" w:cs="宋体"/>
        <w:b w:val="0"/>
        <w:bCs w:val="0"/>
        <w:i w:val="0"/>
        <w:iCs w:val="0"/>
        <w:smallCaps w:val="0"/>
        <w:strike w:val="0"/>
        <w:color w:val="000000"/>
        <w:spacing w:val="0"/>
        <w:w w:val="100"/>
        <w:position w:val="0"/>
        <w:sz w:val="22"/>
        <w:szCs w:val="22"/>
        <w:u w:val="none"/>
        <w:shd w:val="clear" w:color="auto" w:fill="auto"/>
        <w:lang w:val="zh-TW" w:eastAsia="zh-TW" w:bidi="zh-TW"/>
      </w:rPr>
    </w:lvl>
  </w:abstractNum>
  <w:abstractNum w:abstractNumId="1" w15:restartNumberingAfterBreak="0">
    <w:nsid w:val="6CA60F27"/>
    <w:multiLevelType w:val="singleLevel"/>
    <w:tmpl w:val="6CA60F27"/>
    <w:lvl w:ilvl="0">
      <w:start w:val="1"/>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DD7"/>
    <w:rsid w:val="00004E1B"/>
    <w:rsid w:val="000D616E"/>
    <w:rsid w:val="00103BCE"/>
    <w:rsid w:val="00111AC2"/>
    <w:rsid w:val="00152EC2"/>
    <w:rsid w:val="001C3791"/>
    <w:rsid w:val="001D4ABC"/>
    <w:rsid w:val="001F2172"/>
    <w:rsid w:val="003C213C"/>
    <w:rsid w:val="004F3002"/>
    <w:rsid w:val="00513270"/>
    <w:rsid w:val="00556D05"/>
    <w:rsid w:val="0060083B"/>
    <w:rsid w:val="006D3BB3"/>
    <w:rsid w:val="007367F4"/>
    <w:rsid w:val="00761113"/>
    <w:rsid w:val="00801937"/>
    <w:rsid w:val="00807310"/>
    <w:rsid w:val="00813571"/>
    <w:rsid w:val="008C2CFA"/>
    <w:rsid w:val="009016AB"/>
    <w:rsid w:val="00962092"/>
    <w:rsid w:val="009C60D3"/>
    <w:rsid w:val="009D0666"/>
    <w:rsid w:val="00A32456"/>
    <w:rsid w:val="00A95529"/>
    <w:rsid w:val="00AB595D"/>
    <w:rsid w:val="00AB5DD7"/>
    <w:rsid w:val="00BA1D01"/>
    <w:rsid w:val="00C00A7D"/>
    <w:rsid w:val="00D02499"/>
    <w:rsid w:val="00DC1EBC"/>
    <w:rsid w:val="00E5705C"/>
    <w:rsid w:val="00E66F65"/>
    <w:rsid w:val="00F53B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9D94EB"/>
  <w15:chartTrackingRefBased/>
  <w15:docId w15:val="{B8DA531F-D84C-48FA-9AAA-EED21E41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016A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016AB"/>
    <w:rPr>
      <w:sz w:val="18"/>
      <w:szCs w:val="18"/>
    </w:rPr>
  </w:style>
  <w:style w:type="paragraph" w:styleId="a5">
    <w:name w:val="footer"/>
    <w:basedOn w:val="a"/>
    <w:link w:val="a6"/>
    <w:uiPriority w:val="99"/>
    <w:unhideWhenUsed/>
    <w:rsid w:val="009016AB"/>
    <w:pPr>
      <w:tabs>
        <w:tab w:val="center" w:pos="4153"/>
        <w:tab w:val="right" w:pos="8306"/>
      </w:tabs>
      <w:snapToGrid w:val="0"/>
      <w:jc w:val="left"/>
    </w:pPr>
    <w:rPr>
      <w:sz w:val="18"/>
      <w:szCs w:val="18"/>
    </w:rPr>
  </w:style>
  <w:style w:type="character" w:customStyle="1" w:styleId="a6">
    <w:name w:val="页脚 字符"/>
    <w:basedOn w:val="a0"/>
    <w:link w:val="a5"/>
    <w:uiPriority w:val="99"/>
    <w:rsid w:val="009016AB"/>
    <w:rPr>
      <w:sz w:val="18"/>
      <w:szCs w:val="18"/>
    </w:rPr>
  </w:style>
  <w:style w:type="paragraph" w:styleId="a7">
    <w:name w:val="Body Text"/>
    <w:basedOn w:val="a"/>
    <w:link w:val="a8"/>
    <w:uiPriority w:val="1"/>
    <w:qFormat/>
    <w:rsid w:val="009016AB"/>
    <w:pPr>
      <w:ind w:left="183"/>
    </w:pPr>
    <w:rPr>
      <w:rFonts w:ascii="Arial Unicode MS" w:eastAsia="Arial Unicode MS" w:hAnsi="Arial Unicode MS" w:cs="Arial Unicode MS"/>
      <w:sz w:val="19"/>
      <w:szCs w:val="19"/>
      <w:lang w:val="zh-CN" w:bidi="zh-CN"/>
    </w:rPr>
  </w:style>
  <w:style w:type="character" w:customStyle="1" w:styleId="a8">
    <w:name w:val="正文文本 字符"/>
    <w:basedOn w:val="a0"/>
    <w:link w:val="a7"/>
    <w:uiPriority w:val="1"/>
    <w:rsid w:val="009016AB"/>
    <w:rPr>
      <w:rFonts w:ascii="Arial Unicode MS" w:eastAsia="Arial Unicode MS" w:hAnsi="Arial Unicode MS" w:cs="Arial Unicode MS"/>
      <w:sz w:val="19"/>
      <w:szCs w:val="19"/>
      <w:lang w:val="zh-CN" w:bidi="zh-CN"/>
    </w:rPr>
  </w:style>
  <w:style w:type="paragraph" w:customStyle="1" w:styleId="Bodytext1">
    <w:name w:val="Body text|1"/>
    <w:basedOn w:val="a"/>
    <w:qFormat/>
    <w:rsid w:val="009016AB"/>
    <w:pPr>
      <w:spacing w:line="399" w:lineRule="exact"/>
      <w:ind w:firstLine="500"/>
    </w:pPr>
    <w:rPr>
      <w:rFonts w:ascii="宋体" w:eastAsia="宋体" w:hAnsi="宋体" w:cs="宋体"/>
      <w:sz w:val="22"/>
      <w:lang w:val="zh-TW" w:eastAsia="zh-TW" w:bidi="zh-TW"/>
    </w:rPr>
  </w:style>
  <w:style w:type="paragraph" w:styleId="a9">
    <w:name w:val="List Paragraph"/>
    <w:basedOn w:val="a"/>
    <w:uiPriority w:val="1"/>
    <w:qFormat/>
    <w:rsid w:val="009016AB"/>
    <w:pPr>
      <w:ind w:left="134" w:hanging="270"/>
    </w:pPr>
    <w:rPr>
      <w:rFonts w:ascii="Times New Roman" w:eastAsia="Times New Roman" w:hAnsi="Times New Roman" w:cs="Times New Roman"/>
      <w:lang w:val="zh-CN" w:bidi="zh-CN"/>
    </w:rPr>
  </w:style>
  <w:style w:type="paragraph" w:customStyle="1" w:styleId="Bodytext2">
    <w:name w:val="Body text|2"/>
    <w:basedOn w:val="a"/>
    <w:qFormat/>
    <w:rsid w:val="009016AB"/>
    <w:pPr>
      <w:spacing w:line="382" w:lineRule="auto"/>
      <w:ind w:firstLine="400"/>
    </w:pPr>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422314">
      <w:bodyDiv w:val="1"/>
      <w:marLeft w:val="0"/>
      <w:marRight w:val="0"/>
      <w:marTop w:val="0"/>
      <w:marBottom w:val="0"/>
      <w:divBdr>
        <w:top w:val="none" w:sz="0" w:space="0" w:color="auto"/>
        <w:left w:val="none" w:sz="0" w:space="0" w:color="auto"/>
        <w:bottom w:val="none" w:sz="0" w:space="0" w:color="auto"/>
        <w:right w:val="none" w:sz="0" w:space="0" w:color="auto"/>
      </w:divBdr>
    </w:div>
    <w:div w:id="159227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8</Pages>
  <Words>1205</Words>
  <Characters>6873</Characters>
  <Application>Microsoft Office Word</Application>
  <DocSecurity>0</DocSecurity>
  <Lines>57</Lines>
  <Paragraphs>16</Paragraphs>
  <ScaleCrop>false</ScaleCrop>
  <Company/>
  <LinksUpToDate>false</LinksUpToDate>
  <CharactersWithSpaces>8062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Hang</dc:creator>
  <cp:keywords/>
  <dc:description/>
  <cp:lastModifiedBy>junyang jiang</cp:lastModifiedBy>
  <cp:revision>2</cp:revision>
  <dcterms:created xsi:type="dcterms:W3CDTF">2021-06-18T07:35:00Z</dcterms:created>
  <dcterms:modified xsi:type="dcterms:W3CDTF">2021-06-18T07:35:00Z</dcterms:modified>
</cp:coreProperties>
</file>