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9"/>
        <w:gridCol w:w="1109"/>
        <w:gridCol w:w="1112"/>
        <w:gridCol w:w="591"/>
        <w:gridCol w:w="861"/>
        <w:gridCol w:w="600"/>
        <w:gridCol w:w="561"/>
        <w:gridCol w:w="1016"/>
        <w:gridCol w:w="1301"/>
      </w:tblGrid>
      <w:tr w:rsidR="00AB5DD7" w:rsidRPr="00AB5DD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AB5DD7" w:rsidRPr="00AB5DD7" w:rsidRDefault="00A556A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71040867</w:t>
            </w:r>
          </w:p>
        </w:tc>
        <w:tc>
          <w:tcPr>
            <w:tcW w:w="1427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AB5DD7" w:rsidRPr="00AB5DD7" w:rsidRDefault="000B2EB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刘万明</w:t>
            </w: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:rsidR="00AB5DD7" w:rsidRPr="00AB5DD7" w:rsidRDefault="000B2EB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27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AB5DD7" w:rsidRPr="00AB5DD7" w:rsidRDefault="000B2EB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:rsidR="00AB5DD7" w:rsidRP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13632996919</w:t>
            </w:r>
          </w:p>
        </w:tc>
        <w:tc>
          <w:tcPr>
            <w:tcW w:w="1427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AB5DD7" w:rsidRP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105912308@qq.com</w:t>
            </w: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:rsidR="00AB5DD7" w:rsidRP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中国地质大学</w:t>
            </w:r>
          </w:p>
        </w:tc>
        <w:tc>
          <w:tcPr>
            <w:tcW w:w="1427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AB5DD7" w:rsidRP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旅游管理</w:t>
            </w: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:rsidR="00AB5DD7" w:rsidRP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英大证券</w:t>
            </w:r>
          </w:p>
        </w:tc>
        <w:tc>
          <w:tcPr>
            <w:tcW w:w="1427" w:type="dxa"/>
            <w:gridSpan w:val="2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AB5DD7" w:rsidRP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IB业务管理</w:t>
            </w:r>
          </w:p>
        </w:tc>
      </w:tr>
      <w:tr w:rsidR="00AB5DD7" w:rsidRPr="00AB5DD7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:rsidR="00AB5DD7" w:rsidRDefault="000B2EB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本人1982年出生，祖籍湖北荆州，</w:t>
            </w:r>
            <w:r w:rsidR="00D12470">
              <w:rPr>
                <w:rFonts w:ascii="宋体" w:eastAsia="宋体" w:hAnsi="宋体" w:hint="eastAsia"/>
                <w:sz w:val="24"/>
              </w:rPr>
              <w:t>06</w:t>
            </w:r>
            <w:r>
              <w:rPr>
                <w:rFonts w:ascii="宋体" w:eastAsia="宋体" w:hAnsi="宋体" w:hint="eastAsia"/>
                <w:sz w:val="24"/>
              </w:rPr>
              <w:t>大学毕业</w:t>
            </w:r>
            <w:r w:rsidR="00D12470">
              <w:rPr>
                <w:rFonts w:ascii="宋体" w:eastAsia="宋体" w:hAnsi="宋体" w:hint="eastAsia"/>
                <w:sz w:val="24"/>
              </w:rPr>
              <w:t>后一直在深圳工作。</w:t>
            </w:r>
          </w:p>
          <w:p w:rsidR="00D12470" w:rsidRPr="00D12470" w:rsidRDefault="00D12470" w:rsidP="00D1247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2006-2009年  在深圳太阳花酒店任办公室行政及BAK公司聚合物车间生产主管；2009年7月至2015年6月，在中投期货有限公司深圳营业部和总部IB及渠道业务部从事业务开发和渠道管理工作；</w:t>
            </w:r>
            <w:r w:rsidR="007D3C11">
              <w:rPr>
                <w:rFonts w:ascii="宋体" w:eastAsia="宋体" w:hAnsi="宋体" w:hint="eastAsia"/>
                <w:sz w:val="24"/>
              </w:rPr>
              <w:t>2015年7月至今在英大证券财富管理部任职IB业务管理岗。</w:t>
            </w: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1418" w:type="dxa"/>
            <w:gridSpan w:val="2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填：是，否</w:t>
            </w:r>
          </w:p>
        </w:tc>
        <w:tc>
          <w:tcPr>
            <w:tcW w:w="992" w:type="dxa"/>
            <w:vAlign w:val="center"/>
          </w:tcPr>
          <w:p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:rsidR="00AB5DD7" w:rsidRPr="00AB5DD7" w:rsidRDefault="00EE467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证券公司I</w:t>
            </w:r>
            <w:r>
              <w:rPr>
                <w:rFonts w:ascii="宋体" w:eastAsia="宋体" w:hAnsi="宋体"/>
                <w:sz w:val="24"/>
              </w:rPr>
              <w:t>B</w:t>
            </w:r>
            <w:r>
              <w:rPr>
                <w:rFonts w:ascii="宋体" w:eastAsia="宋体" w:hAnsi="宋体" w:hint="eastAsia"/>
                <w:sz w:val="24"/>
              </w:rPr>
              <w:t>业务发展简析</w:t>
            </w:r>
          </w:p>
        </w:tc>
      </w:tr>
      <w:tr w:rsidR="00AB5DD7" w:rsidRPr="00AB5DD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:rsidR="00AB5DD7" w:rsidRPr="00AB5DD7" w:rsidRDefault="00EE4676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学涯求索 名校拾贝 ：I</w:t>
            </w:r>
            <w:r>
              <w:rPr>
                <w:rFonts w:ascii="宋体" w:eastAsia="宋体" w:hAnsi="宋体"/>
                <w:sz w:val="24"/>
              </w:rPr>
              <w:t>SBN 978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113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25196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3</w:t>
            </w:r>
          </w:p>
        </w:tc>
      </w:tr>
      <w:tr w:rsidR="001D4ABC" w:rsidRPr="00AB5DD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:rsidR="001D4ABC" w:rsidRDefault="00CA5638" w:rsidP="00FF4F1D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简析</w:t>
            </w:r>
            <w:r w:rsidR="00667F9A">
              <w:rPr>
                <w:rFonts w:ascii="宋体" w:eastAsia="宋体" w:hAnsi="宋体" w:hint="eastAsia"/>
                <w:sz w:val="24"/>
              </w:rPr>
              <w:t>期货</w:t>
            </w:r>
            <w:r w:rsidR="00EE4676">
              <w:rPr>
                <w:rFonts w:ascii="宋体" w:eastAsia="宋体" w:hAnsi="宋体" w:hint="eastAsia"/>
                <w:sz w:val="24"/>
              </w:rPr>
              <w:t>公司I</w:t>
            </w:r>
            <w:r w:rsidR="00EE4676">
              <w:rPr>
                <w:rFonts w:ascii="宋体" w:eastAsia="宋体" w:hAnsi="宋体"/>
                <w:sz w:val="24"/>
              </w:rPr>
              <w:t>B</w:t>
            </w:r>
            <w:r w:rsidR="00EE4676">
              <w:rPr>
                <w:rFonts w:ascii="宋体" w:eastAsia="宋体" w:hAnsi="宋体" w:hint="eastAsia"/>
                <w:sz w:val="24"/>
              </w:rPr>
              <w:t>业务的发展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="00EE4676">
              <w:rPr>
                <w:rFonts w:ascii="宋体" w:eastAsia="宋体" w:hAnsi="宋体" w:hint="eastAsia"/>
                <w:sz w:val="24"/>
              </w:rPr>
              <w:t>遇到的</w:t>
            </w:r>
            <w:r w:rsidR="00173500">
              <w:rPr>
                <w:rFonts w:ascii="宋体" w:eastAsia="宋体" w:hAnsi="宋体" w:hint="eastAsia"/>
                <w:sz w:val="24"/>
              </w:rPr>
              <w:t>瓶颈，本人结合实际</w:t>
            </w:r>
            <w:r>
              <w:rPr>
                <w:rFonts w:ascii="宋体" w:eastAsia="宋体" w:hAnsi="宋体" w:hint="eastAsia"/>
                <w:sz w:val="24"/>
              </w:rPr>
              <w:t>工作情况及优秀证券公司的业务发展经验给出的一点建议和意见。</w:t>
            </w:r>
          </w:p>
        </w:tc>
      </w:tr>
    </w:tbl>
    <w:p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9"/>
        <w:gridCol w:w="7151"/>
      </w:tblGrid>
      <w:tr w:rsidR="00AB5DD7" w:rsidRPr="00AB5DD7" w:rsidTr="00F83E8A">
        <w:trPr>
          <w:trHeight w:val="841"/>
          <w:jc w:val="center"/>
        </w:trPr>
        <w:tc>
          <w:tcPr>
            <w:tcW w:w="2362" w:type="dxa"/>
            <w:vAlign w:val="center"/>
          </w:tcPr>
          <w:p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AB5DD7" w:rsidRPr="004B2FBE" w:rsidRDefault="004B2FBE" w:rsidP="006F4283">
            <w:pPr>
              <w:rPr>
                <w:rStyle w:val="a6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世界经济学方向</w:t>
            </w:r>
          </w:p>
        </w:tc>
      </w:tr>
      <w:tr w:rsidR="00AB5DD7" w:rsidRPr="00AB5DD7" w:rsidTr="000D616E">
        <w:trPr>
          <w:trHeight w:val="256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AB5DD7" w:rsidRPr="00AB5DD7" w:rsidRDefault="00511B91" w:rsidP="00A93D01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2020年4月</w:t>
            </w:r>
            <w:r w:rsidR="009537C4">
              <w:rPr>
                <w:rFonts w:ascii="宋体" w:eastAsia="宋体" w:hAnsi="宋体" w:hint="eastAsia"/>
                <w:sz w:val="24"/>
              </w:rPr>
              <w:t>1日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2A1145">
              <w:rPr>
                <w:rFonts w:ascii="宋体" w:eastAsia="宋体" w:hAnsi="宋体"/>
                <w:sz w:val="24"/>
              </w:rPr>
              <w:t>证券行业外资股比限制正式取消</w:t>
            </w:r>
            <w:r w:rsidR="009537C4" w:rsidRPr="002A1145">
              <w:rPr>
                <w:rFonts w:ascii="宋体" w:eastAsia="宋体" w:hAnsi="宋体"/>
                <w:sz w:val="24"/>
              </w:rPr>
              <w:t>，意味着扩大证券行业对外开放历程即将迎来新篇章。</w:t>
            </w:r>
            <w:r w:rsidR="00173500">
              <w:rPr>
                <w:rFonts w:ascii="宋体" w:eastAsia="宋体" w:hAnsi="宋体" w:hint="eastAsia"/>
                <w:sz w:val="24"/>
              </w:rPr>
              <w:t>外资股占比的</w:t>
            </w:r>
            <w:r w:rsidR="00EC69D3">
              <w:rPr>
                <w:rFonts w:ascii="宋体" w:eastAsia="宋体" w:hAnsi="宋体" w:hint="eastAsia"/>
                <w:sz w:val="24"/>
              </w:rPr>
              <w:t>全面开放</w:t>
            </w:r>
            <w:r w:rsidR="00347D2A">
              <w:rPr>
                <w:rFonts w:ascii="宋体" w:eastAsia="宋体" w:hAnsi="宋体" w:hint="eastAsia"/>
                <w:sz w:val="24"/>
              </w:rPr>
              <w:t>将吸引</w:t>
            </w:r>
            <w:r w:rsidR="009537C4" w:rsidRPr="002A1145">
              <w:rPr>
                <w:rFonts w:ascii="宋体" w:eastAsia="宋体" w:hAnsi="宋体"/>
                <w:sz w:val="24"/>
              </w:rPr>
              <w:t>外资</w:t>
            </w:r>
            <w:r w:rsidR="005927DD">
              <w:rPr>
                <w:rFonts w:ascii="宋体" w:eastAsia="宋体" w:hAnsi="宋体" w:hint="eastAsia"/>
                <w:sz w:val="24"/>
              </w:rPr>
              <w:t>的涌入</w:t>
            </w:r>
            <w:r w:rsidR="00347D2A">
              <w:rPr>
                <w:rFonts w:ascii="宋体" w:eastAsia="宋体" w:hAnsi="宋体" w:hint="eastAsia"/>
                <w:sz w:val="24"/>
              </w:rPr>
              <w:t>，从而</w:t>
            </w:r>
            <w:r w:rsidR="002A1145" w:rsidRPr="002A1145">
              <w:rPr>
                <w:rFonts w:ascii="宋体" w:eastAsia="宋体" w:hAnsi="宋体" w:hint="eastAsia"/>
                <w:sz w:val="24"/>
              </w:rPr>
              <w:t>改变证券公司</w:t>
            </w:r>
            <w:r w:rsidR="009537C4" w:rsidRPr="002A1145">
              <w:rPr>
                <w:rFonts w:ascii="宋体" w:eastAsia="宋体" w:hAnsi="宋体"/>
                <w:sz w:val="24"/>
              </w:rPr>
              <w:t>股权结构</w:t>
            </w:r>
            <w:r w:rsidR="002A1145" w:rsidRPr="002A1145">
              <w:rPr>
                <w:rFonts w:ascii="宋体" w:eastAsia="宋体" w:hAnsi="宋体" w:hint="eastAsia"/>
                <w:sz w:val="24"/>
              </w:rPr>
              <w:t>，</w:t>
            </w:r>
            <w:r w:rsidR="002A1145">
              <w:rPr>
                <w:rFonts w:ascii="宋体" w:eastAsia="宋体" w:hAnsi="宋体" w:hint="eastAsia"/>
                <w:sz w:val="24"/>
              </w:rPr>
              <w:t>对</w:t>
            </w:r>
            <w:r w:rsidR="00347D2A">
              <w:rPr>
                <w:rFonts w:ascii="宋体" w:eastAsia="宋体" w:hAnsi="宋体" w:hint="eastAsia"/>
                <w:sz w:val="24"/>
              </w:rPr>
              <w:t>证券公司业务模式</w:t>
            </w:r>
            <w:r w:rsidR="00387F6D">
              <w:rPr>
                <w:rFonts w:ascii="宋体" w:eastAsia="宋体" w:hAnsi="宋体" w:hint="eastAsia"/>
                <w:sz w:val="24"/>
              </w:rPr>
              <w:t>，从业人员</w:t>
            </w:r>
            <w:r w:rsidR="009C54C3">
              <w:rPr>
                <w:rFonts w:ascii="宋体" w:eastAsia="宋体" w:hAnsi="宋体" w:hint="eastAsia"/>
                <w:sz w:val="24"/>
              </w:rPr>
              <w:t>，</w:t>
            </w:r>
            <w:r w:rsidR="003A2734">
              <w:rPr>
                <w:rFonts w:ascii="宋体" w:eastAsia="宋体" w:hAnsi="宋体" w:hint="eastAsia"/>
                <w:sz w:val="24"/>
              </w:rPr>
              <w:t>产生重大影响。本论文拟从取消</w:t>
            </w:r>
            <w:r w:rsidR="00D5598C">
              <w:rPr>
                <w:rFonts w:ascii="宋体" w:eastAsia="宋体" w:hAnsi="宋体" w:hint="eastAsia"/>
                <w:sz w:val="24"/>
              </w:rPr>
              <w:t>外资持股比例</w:t>
            </w:r>
            <w:r w:rsidR="003A2734">
              <w:rPr>
                <w:rFonts w:ascii="宋体" w:eastAsia="宋体" w:hAnsi="宋体" w:hint="eastAsia"/>
                <w:sz w:val="24"/>
              </w:rPr>
              <w:t>限制</w:t>
            </w:r>
            <w:r w:rsidR="00A327F6">
              <w:rPr>
                <w:rFonts w:ascii="宋体" w:eastAsia="宋体" w:hAnsi="宋体" w:hint="eastAsia"/>
                <w:sz w:val="24"/>
              </w:rPr>
              <w:t>对证券公司影响</w:t>
            </w:r>
            <w:r w:rsidR="00B679B4">
              <w:rPr>
                <w:rFonts w:ascii="宋体" w:eastAsia="宋体" w:hAnsi="宋体" w:hint="eastAsia"/>
                <w:sz w:val="24"/>
              </w:rPr>
              <w:t>的角度，简析</w:t>
            </w:r>
            <w:r w:rsidR="00823F99">
              <w:rPr>
                <w:rFonts w:ascii="宋体" w:eastAsia="宋体" w:hAnsi="宋体" w:hint="eastAsia"/>
                <w:sz w:val="24"/>
              </w:rPr>
              <w:t>证券公司</w:t>
            </w:r>
            <w:r w:rsidR="00327806">
              <w:rPr>
                <w:rFonts w:ascii="宋体" w:eastAsia="宋体" w:hAnsi="宋体" w:hint="eastAsia"/>
                <w:sz w:val="24"/>
              </w:rPr>
              <w:t>应对影响和变化</w:t>
            </w:r>
            <w:r w:rsidR="0024555D">
              <w:rPr>
                <w:rFonts w:ascii="宋体" w:eastAsia="宋体" w:hAnsi="宋体" w:hint="eastAsia"/>
                <w:sz w:val="24"/>
              </w:rPr>
              <w:t>从而</w:t>
            </w:r>
            <w:r w:rsidR="00327806">
              <w:rPr>
                <w:rFonts w:ascii="宋体" w:eastAsia="宋体" w:hAnsi="宋体" w:hint="eastAsia"/>
                <w:sz w:val="24"/>
              </w:rPr>
              <w:t>对</w:t>
            </w:r>
            <w:r w:rsidR="00725C77">
              <w:rPr>
                <w:rFonts w:ascii="宋体" w:eastAsia="宋体" w:hAnsi="宋体" w:hint="eastAsia"/>
                <w:sz w:val="24"/>
              </w:rPr>
              <w:t>营销人员薪酬激励</w:t>
            </w:r>
            <w:r w:rsidR="00823F99">
              <w:rPr>
                <w:rFonts w:ascii="宋体" w:eastAsia="宋体" w:hAnsi="宋体" w:hint="eastAsia"/>
                <w:sz w:val="24"/>
              </w:rPr>
              <w:t>产生</w:t>
            </w:r>
            <w:r w:rsidR="00A93D01">
              <w:rPr>
                <w:rFonts w:ascii="宋体" w:eastAsia="宋体" w:hAnsi="宋体" w:hint="eastAsia"/>
                <w:sz w:val="24"/>
              </w:rPr>
              <w:t>的</w:t>
            </w:r>
            <w:r w:rsidR="00FA39DC">
              <w:rPr>
                <w:rFonts w:ascii="宋体" w:eastAsia="宋体" w:hAnsi="宋体" w:hint="eastAsia"/>
                <w:sz w:val="24"/>
              </w:rPr>
              <w:t>调整。</w:t>
            </w:r>
          </w:p>
        </w:tc>
      </w:tr>
      <w:tr w:rsidR="00AB5DD7" w:rsidRPr="00AB5DD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AB5DD7" w:rsidRPr="00AB5DD7" w:rsidRDefault="00C7581F" w:rsidP="00EF128B">
            <w:pPr>
              <w:rPr>
                <w:rFonts w:ascii="宋体" w:eastAsia="宋体" w:hAnsi="宋体"/>
                <w:sz w:val="24"/>
              </w:rPr>
            </w:pPr>
            <w:r>
              <w:rPr>
                <w:rFonts w:hint="eastAsia"/>
              </w:rPr>
              <w:t>《</w:t>
            </w:r>
            <w:r w:rsidR="00EF128B">
              <w:rPr>
                <w:rFonts w:hint="eastAsia"/>
              </w:rPr>
              <w:t>取消</w:t>
            </w:r>
            <w:r w:rsidR="003A2734">
              <w:rPr>
                <w:rFonts w:hint="eastAsia"/>
              </w:rPr>
              <w:t>外资</w:t>
            </w:r>
            <w:r w:rsidR="00EF128B">
              <w:rPr>
                <w:rFonts w:hint="eastAsia"/>
              </w:rPr>
              <w:t>持</w:t>
            </w:r>
            <w:r w:rsidR="003A2734">
              <w:rPr>
                <w:rFonts w:hint="eastAsia"/>
              </w:rPr>
              <w:t>股</w:t>
            </w:r>
            <w:r w:rsidR="00EF128B">
              <w:rPr>
                <w:rFonts w:hint="eastAsia"/>
              </w:rPr>
              <w:t>比例限制</w:t>
            </w:r>
            <w:r w:rsidR="00401428">
              <w:rPr>
                <w:rFonts w:hint="eastAsia"/>
              </w:rPr>
              <w:t>对</w:t>
            </w:r>
            <w:r w:rsidR="002A1145">
              <w:t>中国证券公司营销</w:t>
            </w:r>
            <w:r w:rsidR="002A1145">
              <w:rPr>
                <w:rFonts w:hint="eastAsia"/>
              </w:rPr>
              <w:t>人员</w:t>
            </w:r>
            <w:r>
              <w:t>薪酬激励</w:t>
            </w:r>
            <w:r w:rsidR="00401428">
              <w:rPr>
                <w:rFonts w:hint="eastAsia"/>
              </w:rPr>
              <w:t>的影响</w:t>
            </w:r>
            <w:r>
              <w:t>研究</w:t>
            </w:r>
            <w:r>
              <w:rPr>
                <w:rFonts w:hint="eastAsia"/>
              </w:rPr>
              <w:t>》</w:t>
            </w:r>
          </w:p>
        </w:tc>
      </w:tr>
      <w:tr w:rsidR="00AB5DD7" w:rsidRPr="00AB5DD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AB5DD7" w:rsidRPr="00710831" w:rsidRDefault="00710831" w:rsidP="0071083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710831">
              <w:rPr>
                <w:rFonts w:ascii="宋体" w:eastAsia="宋体" w:hAnsi="宋体" w:hint="eastAsia"/>
                <w:sz w:val="24"/>
              </w:rPr>
              <w:t>绪论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1.1研究背景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 研究意义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1.3研究思路和主要内容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 研究方法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1.5 本文创新点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 文献综述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2.1 </w:t>
            </w:r>
            <w:r w:rsidR="007E2AFC">
              <w:rPr>
                <w:rFonts w:ascii="宋体" w:eastAsia="宋体" w:hAnsi="宋体" w:hint="eastAsia"/>
                <w:sz w:val="24"/>
              </w:rPr>
              <w:t>放松外资</w:t>
            </w:r>
            <w:r w:rsidR="00EF128B">
              <w:rPr>
                <w:rFonts w:ascii="宋体" w:eastAsia="宋体" w:hAnsi="宋体" w:hint="eastAsia"/>
                <w:sz w:val="24"/>
              </w:rPr>
              <w:t>持股比例</w:t>
            </w:r>
            <w:r w:rsidR="008D6FDC">
              <w:rPr>
                <w:rFonts w:ascii="宋体" w:eastAsia="宋体" w:hAnsi="宋体" w:hint="eastAsia"/>
                <w:sz w:val="24"/>
              </w:rPr>
              <w:t>限制</w:t>
            </w:r>
            <w:r w:rsidR="00D90B14">
              <w:rPr>
                <w:rFonts w:ascii="宋体" w:eastAsia="宋体" w:hAnsi="宋体" w:hint="eastAsia"/>
                <w:sz w:val="24"/>
              </w:rPr>
              <w:t>对</w:t>
            </w:r>
            <w:r w:rsidR="00BD7383">
              <w:rPr>
                <w:rFonts w:ascii="宋体" w:eastAsia="宋体" w:hAnsi="宋体" w:hint="eastAsia"/>
                <w:sz w:val="24"/>
              </w:rPr>
              <w:t>我国</w:t>
            </w:r>
            <w:r w:rsidR="00EF128B">
              <w:rPr>
                <w:rFonts w:ascii="宋体" w:eastAsia="宋体" w:hAnsi="宋体" w:hint="eastAsia"/>
                <w:sz w:val="24"/>
              </w:rPr>
              <w:t>证券公司</w:t>
            </w:r>
            <w:r w:rsidR="00D90B14">
              <w:rPr>
                <w:rFonts w:ascii="宋体" w:eastAsia="宋体" w:hAnsi="宋体" w:hint="eastAsia"/>
                <w:sz w:val="24"/>
              </w:rPr>
              <w:t>影响的相关文献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2.2 </w:t>
            </w:r>
            <w:r w:rsidR="00BD7383">
              <w:rPr>
                <w:rFonts w:ascii="宋体" w:eastAsia="宋体" w:hAnsi="宋体" w:hint="eastAsia"/>
                <w:sz w:val="24"/>
              </w:rPr>
              <w:t>我国</w:t>
            </w:r>
            <w:r w:rsidR="00D90B14">
              <w:rPr>
                <w:rFonts w:ascii="宋体" w:eastAsia="宋体" w:hAnsi="宋体" w:hint="eastAsia"/>
                <w:sz w:val="24"/>
              </w:rPr>
              <w:t>证券公司营销人员薪酬</w:t>
            </w:r>
            <w:r w:rsidR="00725C77">
              <w:rPr>
                <w:rFonts w:ascii="宋体" w:eastAsia="宋体" w:hAnsi="宋体" w:hint="eastAsia"/>
                <w:sz w:val="24"/>
              </w:rPr>
              <w:t>激励</w:t>
            </w:r>
            <w:r w:rsidR="00D90B14">
              <w:rPr>
                <w:rFonts w:ascii="宋体" w:eastAsia="宋体" w:hAnsi="宋体" w:hint="eastAsia"/>
                <w:sz w:val="24"/>
              </w:rPr>
              <w:t>影响</w:t>
            </w:r>
            <w:r w:rsidR="00725C77">
              <w:rPr>
                <w:rFonts w:ascii="宋体" w:eastAsia="宋体" w:hAnsi="宋体" w:hint="eastAsia"/>
                <w:sz w:val="24"/>
              </w:rPr>
              <w:t>因素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 w:rsidR="00D90B14">
              <w:rPr>
                <w:rFonts w:ascii="宋体" w:eastAsia="宋体" w:hAnsi="宋体" w:hint="eastAsia"/>
                <w:sz w:val="24"/>
              </w:rPr>
              <w:t>相关文献</w:t>
            </w:r>
          </w:p>
          <w:p w:rsidR="00710831" w:rsidRDefault="0071083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2.3 </w:t>
            </w:r>
            <w:r w:rsidR="007E2AFC">
              <w:rPr>
                <w:rFonts w:ascii="宋体" w:eastAsia="宋体" w:hAnsi="宋体" w:hint="eastAsia"/>
                <w:sz w:val="24"/>
              </w:rPr>
              <w:t>外资</w:t>
            </w:r>
            <w:r w:rsidR="00EF128B">
              <w:rPr>
                <w:rFonts w:ascii="宋体" w:eastAsia="宋体" w:hAnsi="宋体" w:hint="eastAsia"/>
                <w:sz w:val="24"/>
              </w:rPr>
              <w:t>持股比例</w:t>
            </w:r>
            <w:r w:rsidR="00725C77">
              <w:rPr>
                <w:rFonts w:ascii="宋体" w:eastAsia="宋体" w:hAnsi="宋体" w:hint="eastAsia"/>
                <w:sz w:val="24"/>
              </w:rPr>
              <w:t>与</w:t>
            </w:r>
            <w:r w:rsidR="0042049A">
              <w:rPr>
                <w:rFonts w:ascii="宋体" w:eastAsia="宋体" w:hAnsi="宋体" w:hint="eastAsia"/>
                <w:sz w:val="24"/>
              </w:rPr>
              <w:t>证券公司</w:t>
            </w:r>
            <w:r w:rsidR="00725C77">
              <w:rPr>
                <w:rFonts w:ascii="宋体" w:eastAsia="宋体" w:hAnsi="宋体" w:hint="eastAsia"/>
                <w:sz w:val="24"/>
              </w:rPr>
              <w:t>营销人员薪酬激励的相关文献</w:t>
            </w:r>
          </w:p>
          <w:p w:rsidR="00473FF9" w:rsidRDefault="00490B61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</w:t>
            </w:r>
            <w:r w:rsidR="00603495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理论分析与研究假设</w:t>
            </w:r>
          </w:p>
          <w:p w:rsidR="00710831" w:rsidRDefault="00490B61" w:rsidP="008210B2">
            <w:pPr>
              <w:ind w:left="480" w:hangingChars="200" w:hanging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="00473FF9"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 w:rsidR="00EF128B">
              <w:rPr>
                <w:rFonts w:ascii="宋体" w:eastAsia="宋体" w:hAnsi="宋体" w:hint="eastAsia"/>
                <w:sz w:val="24"/>
              </w:rPr>
              <w:t>取消</w:t>
            </w:r>
            <w:r w:rsidR="007E2AFC">
              <w:rPr>
                <w:rFonts w:ascii="宋体" w:eastAsia="宋体" w:hAnsi="宋体" w:hint="eastAsia"/>
                <w:sz w:val="24"/>
              </w:rPr>
              <w:t>外资</w:t>
            </w:r>
            <w:r w:rsidR="00EF128B">
              <w:rPr>
                <w:rFonts w:ascii="宋体" w:eastAsia="宋体" w:hAnsi="宋体" w:hint="eastAsia"/>
                <w:sz w:val="24"/>
              </w:rPr>
              <w:t>持股比例</w:t>
            </w:r>
            <w:r w:rsidR="00A93D01">
              <w:rPr>
                <w:rFonts w:ascii="宋体" w:eastAsia="宋体" w:hAnsi="宋体" w:hint="eastAsia"/>
                <w:sz w:val="24"/>
              </w:rPr>
              <w:t>限制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  <w:r w:rsidR="004E6458">
              <w:rPr>
                <w:rFonts w:ascii="宋体" w:eastAsia="宋体" w:hAnsi="宋体" w:hint="eastAsia"/>
                <w:sz w:val="24"/>
              </w:rPr>
              <w:t>我国</w:t>
            </w:r>
            <w:r w:rsidR="0042049A">
              <w:rPr>
                <w:rFonts w:ascii="宋体" w:eastAsia="宋体" w:hAnsi="宋体" w:hint="eastAsia"/>
                <w:sz w:val="24"/>
              </w:rPr>
              <w:t>证券公司营销</w:t>
            </w:r>
            <w:r w:rsidR="009C713A">
              <w:rPr>
                <w:rFonts w:ascii="宋体" w:eastAsia="宋体" w:hAnsi="宋体" w:hint="eastAsia"/>
                <w:sz w:val="24"/>
              </w:rPr>
              <w:t>人员薪酬</w:t>
            </w:r>
            <w:r w:rsidR="004E6458">
              <w:rPr>
                <w:rFonts w:ascii="宋体" w:eastAsia="宋体" w:hAnsi="宋体" w:hint="eastAsia"/>
                <w:sz w:val="24"/>
              </w:rPr>
              <w:t>激励</w:t>
            </w:r>
            <w:r w:rsidR="00603495">
              <w:rPr>
                <w:rFonts w:ascii="宋体" w:eastAsia="宋体" w:hAnsi="宋体" w:hint="eastAsia"/>
                <w:sz w:val="24"/>
              </w:rPr>
              <w:t>的作用机制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3.2 </w:t>
            </w:r>
            <w:r w:rsidR="00473FF9">
              <w:rPr>
                <w:rFonts w:ascii="宋体" w:eastAsia="宋体" w:hAnsi="宋体" w:hint="eastAsia"/>
                <w:sz w:val="24"/>
              </w:rPr>
              <w:t>证券公司薪酬激励的实施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 研究设计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 样本选取与样本特征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 变量的定义与测量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 模型构建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第五章 实证分析与假设检验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 描述性分析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 相关性分析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5.3 回归分析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5.4 稳健性检验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第六章 研究总结</w:t>
            </w:r>
            <w:r w:rsidR="00D90B14">
              <w:rPr>
                <w:rFonts w:ascii="宋体" w:eastAsia="宋体" w:hAnsi="宋体" w:hint="eastAsia"/>
                <w:sz w:val="24"/>
              </w:rPr>
              <w:t>及政策建议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6.1 研究结论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6.2 政策建议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6.3 研究不足与展望</w:t>
            </w:r>
          </w:p>
          <w:p w:rsid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参考文献</w:t>
            </w:r>
          </w:p>
          <w:p w:rsidR="00603495" w:rsidRPr="00603495" w:rsidRDefault="00603495" w:rsidP="007108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致 谢</w:t>
            </w:r>
          </w:p>
        </w:tc>
      </w:tr>
      <w:tr w:rsidR="00AB5DD7" w:rsidRPr="009851E5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AB5DD7" w:rsidRPr="00B441FA" w:rsidRDefault="009851E5" w:rsidP="00807310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441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中国证监会，中国证券业协会官网相关数据，相关证券公司官网材料</w:t>
            </w:r>
            <w:r w:rsidR="005E3FCB" w:rsidRPr="00B441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，wind数据库，《中国证券业发展报告》</w:t>
            </w:r>
            <w:r w:rsidRPr="00B441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等</w:t>
            </w:r>
            <w:r w:rsidR="00B441F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论文答辩期限以成绩单里“考试日期”列中最后一个日期开始计时，一年半内必须完成</w:t>
      </w:r>
      <w:r w:rsidR="00E5705C">
        <w:rPr>
          <w:rFonts w:ascii="宋体" w:eastAsia="宋体" w:hAnsi="宋体" w:hint="eastAsia"/>
          <w:b/>
          <w:bCs/>
          <w:color w:val="FF0000"/>
        </w:rPr>
        <w:t>（包括二答）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531" w:rsidRDefault="00963531" w:rsidP="000B2EBC">
      <w:r>
        <w:separator/>
      </w:r>
    </w:p>
  </w:endnote>
  <w:endnote w:type="continuationSeparator" w:id="0">
    <w:p w:rsidR="00963531" w:rsidRDefault="00963531" w:rsidP="000B2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531" w:rsidRDefault="00963531" w:rsidP="000B2EBC">
      <w:r>
        <w:separator/>
      </w:r>
    </w:p>
  </w:footnote>
  <w:footnote w:type="continuationSeparator" w:id="0">
    <w:p w:rsidR="00963531" w:rsidRDefault="00963531" w:rsidP="000B2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725C5"/>
    <w:multiLevelType w:val="hybridMultilevel"/>
    <w:tmpl w:val="4DF08808"/>
    <w:lvl w:ilvl="0" w:tplc="2E860F96">
      <w:start w:val="1"/>
      <w:numFmt w:val="japaneseCounting"/>
      <w:lvlText w:val="第%1章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00002F8E"/>
    <w:rsid w:val="000253B4"/>
    <w:rsid w:val="00027F77"/>
    <w:rsid w:val="00063CAA"/>
    <w:rsid w:val="000B2EBC"/>
    <w:rsid w:val="000D616E"/>
    <w:rsid w:val="00111AC2"/>
    <w:rsid w:val="00161A1E"/>
    <w:rsid w:val="00173500"/>
    <w:rsid w:val="00185377"/>
    <w:rsid w:val="001C3791"/>
    <w:rsid w:val="001D4ABC"/>
    <w:rsid w:val="001F2172"/>
    <w:rsid w:val="0024555D"/>
    <w:rsid w:val="002A1145"/>
    <w:rsid w:val="002B40B1"/>
    <w:rsid w:val="00327806"/>
    <w:rsid w:val="00347D2A"/>
    <w:rsid w:val="00361A90"/>
    <w:rsid w:val="00387F6D"/>
    <w:rsid w:val="003A2734"/>
    <w:rsid w:val="003C213C"/>
    <w:rsid w:val="003F5459"/>
    <w:rsid w:val="00401428"/>
    <w:rsid w:val="004059D1"/>
    <w:rsid w:val="00416C3D"/>
    <w:rsid w:val="0042049A"/>
    <w:rsid w:val="004330A4"/>
    <w:rsid w:val="00434CAB"/>
    <w:rsid w:val="004436C7"/>
    <w:rsid w:val="00473FF9"/>
    <w:rsid w:val="00490B61"/>
    <w:rsid w:val="00494281"/>
    <w:rsid w:val="004B2FBE"/>
    <w:rsid w:val="004E6458"/>
    <w:rsid w:val="004F3197"/>
    <w:rsid w:val="00511B91"/>
    <w:rsid w:val="00536AC5"/>
    <w:rsid w:val="00556D05"/>
    <w:rsid w:val="005927DD"/>
    <w:rsid w:val="005D5FB5"/>
    <w:rsid w:val="005E3FCB"/>
    <w:rsid w:val="00601531"/>
    <w:rsid w:val="00603495"/>
    <w:rsid w:val="0065089B"/>
    <w:rsid w:val="00663554"/>
    <w:rsid w:val="00667F9A"/>
    <w:rsid w:val="00677181"/>
    <w:rsid w:val="006D39D1"/>
    <w:rsid w:val="006F4283"/>
    <w:rsid w:val="00710831"/>
    <w:rsid w:val="00725C77"/>
    <w:rsid w:val="00755268"/>
    <w:rsid w:val="00761113"/>
    <w:rsid w:val="00797A75"/>
    <w:rsid w:val="007B43C0"/>
    <w:rsid w:val="007D3C11"/>
    <w:rsid w:val="007E2AFC"/>
    <w:rsid w:val="00807310"/>
    <w:rsid w:val="008210B2"/>
    <w:rsid w:val="00823F99"/>
    <w:rsid w:val="0083217B"/>
    <w:rsid w:val="008A120E"/>
    <w:rsid w:val="008D0840"/>
    <w:rsid w:val="008D6FDC"/>
    <w:rsid w:val="008E6579"/>
    <w:rsid w:val="009537C4"/>
    <w:rsid w:val="00963531"/>
    <w:rsid w:val="009851E5"/>
    <w:rsid w:val="009B3322"/>
    <w:rsid w:val="009C0619"/>
    <w:rsid w:val="009C54C3"/>
    <w:rsid w:val="009C713A"/>
    <w:rsid w:val="009D0666"/>
    <w:rsid w:val="00A32456"/>
    <w:rsid w:val="00A327F6"/>
    <w:rsid w:val="00A556A4"/>
    <w:rsid w:val="00A91AAA"/>
    <w:rsid w:val="00A93D01"/>
    <w:rsid w:val="00AB5DD7"/>
    <w:rsid w:val="00B441FA"/>
    <w:rsid w:val="00B679B4"/>
    <w:rsid w:val="00B8320B"/>
    <w:rsid w:val="00BC21FF"/>
    <w:rsid w:val="00BD7383"/>
    <w:rsid w:val="00BD7A31"/>
    <w:rsid w:val="00C01A8B"/>
    <w:rsid w:val="00C631CE"/>
    <w:rsid w:val="00C7581F"/>
    <w:rsid w:val="00C768DA"/>
    <w:rsid w:val="00CA5638"/>
    <w:rsid w:val="00CB3FEA"/>
    <w:rsid w:val="00CD7907"/>
    <w:rsid w:val="00D00F18"/>
    <w:rsid w:val="00D1066E"/>
    <w:rsid w:val="00D12470"/>
    <w:rsid w:val="00D35FD1"/>
    <w:rsid w:val="00D5598C"/>
    <w:rsid w:val="00D72763"/>
    <w:rsid w:val="00D90B14"/>
    <w:rsid w:val="00DE280A"/>
    <w:rsid w:val="00E10F19"/>
    <w:rsid w:val="00E5705C"/>
    <w:rsid w:val="00E85BC0"/>
    <w:rsid w:val="00EC5721"/>
    <w:rsid w:val="00EC69D3"/>
    <w:rsid w:val="00EE4676"/>
    <w:rsid w:val="00EF128B"/>
    <w:rsid w:val="00F53D64"/>
    <w:rsid w:val="00F66348"/>
    <w:rsid w:val="00F83E8A"/>
    <w:rsid w:val="00F851D0"/>
    <w:rsid w:val="00FA39DC"/>
    <w:rsid w:val="00FF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EBC"/>
    <w:rPr>
      <w:sz w:val="18"/>
      <w:szCs w:val="18"/>
    </w:rPr>
  </w:style>
  <w:style w:type="paragraph" w:styleId="a5">
    <w:name w:val="List Paragraph"/>
    <w:basedOn w:val="a"/>
    <w:uiPriority w:val="34"/>
    <w:qFormat/>
    <w:rsid w:val="00710831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4B2FBE"/>
    <w:rPr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liuwm</cp:lastModifiedBy>
  <cp:revision>113</cp:revision>
  <dcterms:created xsi:type="dcterms:W3CDTF">2021-01-20T08:38:00Z</dcterms:created>
  <dcterms:modified xsi:type="dcterms:W3CDTF">2021-06-21T08:12:00Z</dcterms:modified>
</cp:coreProperties>
</file>