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113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81040757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查万理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13821907167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zha_jj@163.com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土木工程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硕士毕业院校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硕士专业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建筑与土木工程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9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中交地产济南公司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投资开发部经理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4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left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查万理</w:t>
            </w:r>
            <w:r>
              <w:rPr>
                <w:rFonts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1992年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湖南</w:t>
            </w:r>
            <w:r>
              <w:rPr>
                <w:rFonts w:ascii="宋体" w:hAnsi="宋体" w:eastAsia="宋体"/>
                <w:sz w:val="24"/>
              </w:rPr>
              <w:t>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花垣</w:t>
            </w:r>
            <w:r>
              <w:rPr>
                <w:rFonts w:ascii="宋体" w:hAnsi="宋体" w:eastAsia="宋体"/>
                <w:sz w:val="24"/>
              </w:rPr>
              <w:t>县，20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17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天津市天津大学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left"/>
              <w:textAlignment w:val="auto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17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月-20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中交海外地产</w:t>
            </w:r>
            <w:r>
              <w:rPr>
                <w:rFonts w:hint="default" w:ascii="宋体" w:hAnsi="宋体" w:eastAsia="宋体"/>
                <w:sz w:val="24"/>
              </w:rPr>
              <w:t>，任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投资开发部业务主办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4"/>
              </w:rPr>
              <w:t>月-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2020年10月</w:t>
            </w:r>
            <w:r>
              <w:rPr>
                <w:rFonts w:hint="default" w:ascii="宋体" w:hAnsi="宋体" w:eastAsia="宋体"/>
                <w:sz w:val="24"/>
              </w:rPr>
              <w:t>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中交地产华北区域公司，任投资开发部业务主管；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left"/>
              <w:textAlignment w:val="auto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2020年10月-至今，就职于中交地产济南公司，任投资开发部经理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4000左右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《经济全球化对我国经济发展的影响及对策》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中国科技信息，CN：11-2739/N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该文章已收录在《中国科技信息》杂志。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自中国加入WTO，从本质上提高了我国在国际社会上的地位，并且在实现经济全球化的过程中，对我国的经济、文化、科技等领域都有巨大的推进作用，人民的生活水平得到了进一步提高。经济全球化不仅有利于中国经济整体的发展，而且有利于资源的优化配置，同时也有利于深化企业改革，这是人类发展进步的表现，也是世界经济发展的必然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rPr>
                <w:rFonts w:hint="default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土地制度对一个国家工业化发展的影响（产业更新升级）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6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对于一个国家而言，其土地制度对于实现该国工业化快速发展、产业更新升级具有重要的意义。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论文拟以世界上人口最多的国家之一-印度为主要研究对象，通过分析其土地制度形成与原因以及在该土地制度前提下尼赫鲁-甘地时期、辛格时期、莫迪时期印度工业化的发展情况，过程中以中国为比较案例进行对比、分析，采用计量经济学研究提出最终的关系模型结论与展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rPr>
                <w:rFonts w:hint="default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印度土地制度对其工业化发展的影响分析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8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第一章 绪论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1.1选题背景与意义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1.2国内外研究现状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1.3本文的研究思路与方法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第二章 印度土地制度的形成及原因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2.1独立前印度土地制度概况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2.2独立后印度土地制度的形成及原因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2.3本章小结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第三章 印度在三个时期的工业化表现及对比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3.1尼赫鲁-甘地时期印度的工业化表现及对比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3.2辛格时期印度的工业化表现及对比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3.3莫迪时期印度的工业化表现及对比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3.4本章小结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 印度土地制度与工业化发展关系的计量经济学分析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印度土地制度与工业化发展关系汇总分析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印度土地制度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与工业化发展关系的模型设定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印度土地制度与工业化发展关系的参数估计及检验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4.4 印度土地制度与工业化发展关系的模型应用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4.5 本章小结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结论与展望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 主要研究工作与结论建议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 研究工作的不足与展望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7" w:hRule="atLeast"/>
          <w:jc w:val="center"/>
        </w:trPr>
        <w:tc>
          <w:tcPr>
            <w:tcW w:w="2311" w:type="dxa"/>
            <w:vAlign w:val="center"/>
          </w:tcPr>
          <w:p>
            <w:pPr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703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主要书目：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《印度土地制度研究》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《中国土地制度改革三十年》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left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数据;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世界银行印度、中国历史年度工业总产值、农业劳动力等经济指标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</w:tr>
    </w:tbl>
    <w:p/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D5762"/>
    <w:multiLevelType w:val="singleLevel"/>
    <w:tmpl w:val="31AD576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557743D"/>
    <w:rsid w:val="15B53360"/>
    <w:rsid w:val="17BF215A"/>
    <w:rsid w:val="1DB7756F"/>
    <w:rsid w:val="20A75F8A"/>
    <w:rsid w:val="2B6541E8"/>
    <w:rsid w:val="3E0A7CA4"/>
    <w:rsid w:val="438B529D"/>
    <w:rsid w:val="4C390508"/>
    <w:rsid w:val="68897902"/>
    <w:rsid w:val="69E601DF"/>
    <w:rsid w:val="6B1D0D51"/>
    <w:rsid w:val="6E767BF5"/>
    <w:rsid w:val="75454CD3"/>
    <w:rsid w:val="77BA6EF1"/>
    <w:rsid w:val="79C752A3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JJ 查</cp:lastModifiedBy>
  <dcterms:modified xsi:type="dcterms:W3CDTF">2021-07-10T02:22:10Z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6F937689B24946D8AE1FF113337BA656</vt:lpwstr>
  </property>
</Properties>
</file>