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81040762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王韦玮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rPr>
            </w:pPr>
            <w:r>
              <w:rPr>
                <w:rFonts w:hint="eastAsia" w:ascii="宋体" w:hAnsi="宋体" w:eastAsia="宋体"/>
                <w:sz w:val="24"/>
                <w:lang w:val="en-US"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13381096363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447231234@qq.com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四川大学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中国电信股份有限公司北京分公司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政企市场经营分析师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ascii="宋体" w:hAnsi="宋体" w:eastAsia="宋体"/>
                <w:sz w:val="24"/>
              </w:rPr>
              <w:t>本人</w:t>
            </w:r>
            <w:r>
              <w:rPr>
                <w:rFonts w:hint="eastAsia" w:ascii="宋体" w:hAnsi="宋体" w:eastAsia="宋体"/>
                <w:sz w:val="24"/>
                <w:lang w:val="en-US" w:eastAsia="zh-CN"/>
              </w:rPr>
              <w:t>王韦玮</w:t>
            </w:r>
            <w:r>
              <w:rPr>
                <w:rFonts w:ascii="宋体" w:hAnsi="宋体" w:eastAsia="宋体"/>
                <w:sz w:val="24"/>
              </w:rPr>
              <w:t>，198</w:t>
            </w:r>
            <w:r>
              <w:rPr>
                <w:rFonts w:hint="eastAsia" w:ascii="宋体" w:hAnsi="宋体" w:eastAsia="宋体"/>
                <w:sz w:val="24"/>
                <w:lang w:val="en-US" w:eastAsia="zh-CN"/>
              </w:rPr>
              <w:t>9年</w:t>
            </w:r>
            <w:r>
              <w:rPr>
                <w:rFonts w:ascii="宋体" w:hAnsi="宋体" w:eastAsia="宋体"/>
                <w:sz w:val="24"/>
              </w:rPr>
              <w:t>出生，</w:t>
            </w:r>
            <w:r>
              <w:rPr>
                <w:rFonts w:hint="eastAsia" w:ascii="宋体" w:hAnsi="宋体" w:eastAsia="宋体"/>
                <w:sz w:val="24"/>
                <w:lang w:val="en-US" w:eastAsia="zh-CN"/>
              </w:rPr>
              <w:t>籍贯辽宁省盘锦市，现户口所在地北京市海淀区。</w:t>
            </w:r>
          </w:p>
          <w:p>
            <w:pPr>
              <w:rPr>
                <w:rFonts w:hint="eastAsia" w:ascii="宋体" w:hAnsi="宋体" w:eastAsia="宋体"/>
                <w:sz w:val="24"/>
                <w:lang w:val="en-US" w:eastAsia="zh-CN"/>
              </w:rPr>
            </w:pPr>
            <w:r>
              <w:rPr>
                <w:rFonts w:hint="eastAsia" w:ascii="宋体" w:hAnsi="宋体" w:eastAsia="宋体"/>
                <w:sz w:val="24"/>
                <w:lang w:val="en-US" w:eastAsia="zh-CN"/>
              </w:rPr>
              <w:t>本科于2007-2011年间就读于四川大学，通信工程专业；</w:t>
            </w:r>
          </w:p>
          <w:p>
            <w:pPr>
              <w:rPr>
                <w:rFonts w:hint="default" w:ascii="宋体" w:hAnsi="宋体" w:eastAsia="宋体"/>
                <w:sz w:val="24"/>
                <w:lang w:val="en-US"/>
              </w:rPr>
            </w:pPr>
            <w:r>
              <w:rPr>
                <w:rFonts w:hint="eastAsia" w:ascii="宋体" w:hAnsi="宋体" w:eastAsia="宋体"/>
                <w:sz w:val="24"/>
                <w:lang w:val="en-US" w:eastAsia="zh-CN"/>
              </w:rPr>
              <w:t>硕士研究生于2011年-2014年间就读于北京邮电大学，通信与信息系统专业。</w:t>
            </w:r>
          </w:p>
          <w:p>
            <w:pPr>
              <w:rPr>
                <w:rFonts w:hint="default" w:ascii="宋体" w:hAnsi="宋体" w:eastAsia="宋体"/>
                <w:sz w:val="24"/>
                <w:lang w:val="en-US"/>
              </w:rPr>
            </w:pPr>
            <w:r>
              <w:rPr>
                <w:rFonts w:hint="default" w:ascii="宋体" w:hAnsi="宋体" w:eastAsia="宋体"/>
                <w:sz w:val="24"/>
              </w:rPr>
              <w:t>20</w:t>
            </w:r>
            <w:r>
              <w:rPr>
                <w:rFonts w:hint="eastAsia" w:ascii="宋体" w:hAnsi="宋体" w:eastAsia="宋体"/>
                <w:sz w:val="24"/>
                <w:lang w:val="en-US" w:eastAsia="zh-CN"/>
              </w:rPr>
              <w:t>11</w:t>
            </w:r>
            <w:r>
              <w:rPr>
                <w:rFonts w:hint="default" w:ascii="宋体" w:hAnsi="宋体" w:eastAsia="宋体"/>
                <w:sz w:val="24"/>
              </w:rPr>
              <w:t>年4月</w:t>
            </w:r>
            <w:r>
              <w:rPr>
                <w:rFonts w:hint="eastAsia" w:ascii="宋体" w:hAnsi="宋体" w:eastAsia="宋体"/>
                <w:sz w:val="24"/>
                <w:lang w:val="en-US" w:eastAsia="zh-CN"/>
              </w:rPr>
              <w:t>至今</w:t>
            </w:r>
            <w:r>
              <w:rPr>
                <w:rFonts w:hint="default" w:ascii="宋体" w:hAnsi="宋体" w:eastAsia="宋体"/>
                <w:sz w:val="24"/>
              </w:rPr>
              <w:t>就职于</w:t>
            </w:r>
            <w:r>
              <w:rPr>
                <w:rFonts w:hint="eastAsia" w:ascii="宋体" w:hAnsi="宋体" w:eastAsia="宋体"/>
                <w:sz w:val="24"/>
                <w:lang w:val="en-US" w:eastAsia="zh-CN"/>
              </w:rPr>
              <w:t>中国电信股份有限公司北京分公司，任政企市场经营分析师。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未发表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股票市场财富效应对居民消费行为的影响研究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widowControl/>
              <w:suppressLineNumbers w:val="0"/>
              <w:ind w:firstLine="400" w:firstLineChars="200"/>
              <w:jc w:val="left"/>
              <w:rPr>
                <w:rFonts w:hint="eastAsia" w:ascii="方正书宋_GBK" w:hAnsi="方正书宋_GBK" w:eastAsia="方正书宋_GBK" w:cs="方正书宋_GBK"/>
                <w:color w:val="000000"/>
                <w:kern w:val="0"/>
                <w:sz w:val="20"/>
                <w:szCs w:val="20"/>
                <w:lang w:val="en-US" w:eastAsia="zh-CN" w:bidi="ar"/>
              </w:rPr>
            </w:pPr>
            <w:r>
              <w:rPr>
                <w:rFonts w:hint="eastAsia" w:ascii="方正书宋_GBK" w:hAnsi="方正书宋_GBK" w:eastAsia="方正书宋_GBK" w:cs="方正书宋_GBK"/>
                <w:color w:val="000000"/>
                <w:kern w:val="0"/>
                <w:sz w:val="20"/>
                <w:szCs w:val="20"/>
                <w:lang w:val="en-US" w:eastAsia="zh-CN" w:bidi="ar"/>
              </w:rPr>
              <w:t>2017</w:t>
            </w:r>
            <w:r>
              <w:rPr>
                <w:rFonts w:ascii="方正书宋_GBK" w:hAnsi="方正书宋_GBK" w:eastAsia="方正书宋_GBK" w:cs="方正书宋_GBK"/>
                <w:color w:val="000000"/>
                <w:kern w:val="0"/>
                <w:sz w:val="20"/>
                <w:szCs w:val="20"/>
                <w:lang w:val="en-US" w:eastAsia="zh-CN" w:bidi="ar"/>
              </w:rPr>
              <w:t>年</w:t>
            </w:r>
            <w:r>
              <w:rPr>
                <w:rFonts w:hint="eastAsia" w:ascii="方正书宋_GBK" w:hAnsi="方正书宋_GBK" w:eastAsia="方正书宋_GBK" w:cs="方正书宋_GBK"/>
                <w:color w:val="000000"/>
                <w:kern w:val="0"/>
                <w:sz w:val="20"/>
                <w:szCs w:val="20"/>
                <w:lang w:val="en-US" w:eastAsia="zh-CN" w:bidi="ar"/>
              </w:rPr>
              <w:t>以来，中美贸易摩擦逐步升级</w:t>
            </w:r>
            <w:r>
              <w:rPr>
                <w:rFonts w:ascii="方正书宋_GBK" w:hAnsi="方正书宋_GBK" w:eastAsia="方正书宋_GBK" w:cs="方正书宋_GBK"/>
                <w:color w:val="000000"/>
                <w:kern w:val="0"/>
                <w:sz w:val="20"/>
                <w:szCs w:val="20"/>
                <w:lang w:val="en-US" w:eastAsia="zh-CN" w:bidi="ar"/>
              </w:rPr>
              <w:t>，</w:t>
            </w:r>
            <w:r>
              <w:rPr>
                <w:rFonts w:hint="eastAsia" w:ascii="方正书宋_GBK" w:hAnsi="方正书宋_GBK" w:eastAsia="方正书宋_GBK" w:cs="方正书宋_GBK"/>
                <w:color w:val="000000"/>
                <w:kern w:val="0"/>
                <w:sz w:val="20"/>
                <w:szCs w:val="20"/>
                <w:lang w:val="en-US" w:eastAsia="zh-CN" w:bidi="ar"/>
              </w:rPr>
              <w:t>全球经济复苏乏力的背景下，2020年新冠疫情又在全球全面爆发，</w:t>
            </w:r>
            <w:r>
              <w:rPr>
                <w:rFonts w:ascii="方正书宋_GBK" w:hAnsi="方正书宋_GBK" w:eastAsia="方正书宋_GBK" w:cs="方正书宋_GBK"/>
                <w:color w:val="000000"/>
                <w:kern w:val="0"/>
                <w:sz w:val="20"/>
                <w:szCs w:val="20"/>
                <w:lang w:val="en-US" w:eastAsia="zh-CN" w:bidi="ar"/>
              </w:rPr>
              <w:t>我国</w:t>
            </w:r>
            <w:r>
              <w:rPr>
                <w:rFonts w:hint="eastAsia" w:ascii="方正书宋_GBK" w:hAnsi="方正书宋_GBK" w:eastAsia="方正书宋_GBK" w:cs="方正书宋_GBK"/>
                <w:color w:val="000000"/>
                <w:kern w:val="0"/>
                <w:sz w:val="20"/>
                <w:szCs w:val="20"/>
                <w:lang w:val="en-US" w:eastAsia="zh-CN" w:bidi="ar"/>
              </w:rPr>
              <w:t>疫情防控取得成效，因此在</w:t>
            </w:r>
            <w:r>
              <w:rPr>
                <w:rFonts w:hint="eastAsia" w:ascii="方正书宋_GBK" w:hAnsi="方正书宋_GBK" w:eastAsia="方正书宋_GBK" w:cs="方正书宋_GBK"/>
                <w:color w:val="000000"/>
                <w:kern w:val="0"/>
                <w:sz w:val="20"/>
                <w:szCs w:val="20"/>
                <w:lang w:val="en-US" w:eastAsia="zh-CN" w:bidi="ar"/>
              </w:rPr>
              <w:t>2020年，受新冠疫情影响，全球经济普遍呈现负增长，中国成为全球唯一实现经济正增长的主要经济体。过去的中国经济更多依靠投资和出口拉动，但在全球疫情依然没有得到控制的情况下，外需面临的不确定性较大，未来的三驾马车中，消费拉动在边际上的贡献会高于投资和出口。党的十九届五中全会通过的《中共中央关于制定国民经济和社会发展第十四个五年规划和二〇三五年远景目标的建议》中提出，要加快构建</w:t>
            </w:r>
            <w:r>
              <w:rPr>
                <w:rFonts w:hint="default" w:ascii="方正书宋_GBK" w:hAnsi="方正书宋_GBK" w:eastAsia="方正书宋_GBK" w:cs="方正书宋_GBK"/>
                <w:color w:val="000000"/>
                <w:kern w:val="0"/>
                <w:sz w:val="20"/>
                <w:szCs w:val="20"/>
                <w:lang w:val="en-US" w:eastAsia="zh-CN" w:bidi="ar"/>
              </w:rPr>
              <w:t>以国内大循环为主体、国内国际双循环相互促进的新发展格局。</w:t>
            </w:r>
            <w:r>
              <w:rPr>
                <w:rFonts w:hint="eastAsia" w:ascii="方正书宋_GBK" w:hAnsi="方正书宋_GBK" w:eastAsia="方正书宋_GBK" w:cs="方正书宋_GBK"/>
                <w:color w:val="000000"/>
                <w:kern w:val="0"/>
                <w:sz w:val="20"/>
                <w:szCs w:val="20"/>
                <w:lang w:val="en-US" w:eastAsia="zh-CN" w:bidi="ar"/>
              </w:rPr>
              <w:t>未来的经济增长点从出口导向为主，</w:t>
            </w:r>
            <w:r>
              <w:rPr>
                <w:rFonts w:hint="default" w:ascii="方正书宋_GBK" w:hAnsi="方正书宋_GBK" w:eastAsia="方正书宋_GBK" w:cs="方正书宋_GBK"/>
                <w:color w:val="000000"/>
                <w:kern w:val="0"/>
                <w:sz w:val="20"/>
                <w:szCs w:val="20"/>
                <w:lang w:val="en-US" w:eastAsia="zh-CN" w:bidi="ar"/>
              </w:rPr>
              <w:t>更多地转向国内循环</w:t>
            </w:r>
            <w:r>
              <w:rPr>
                <w:rFonts w:hint="eastAsia" w:ascii="方正书宋_GBK" w:hAnsi="方正书宋_GBK" w:eastAsia="方正书宋_GBK" w:cs="方正书宋_GBK"/>
                <w:color w:val="000000"/>
                <w:kern w:val="0"/>
                <w:sz w:val="20"/>
                <w:szCs w:val="20"/>
                <w:lang w:val="en-US" w:eastAsia="zh-CN" w:bidi="ar"/>
              </w:rPr>
              <w:t>，</w:t>
            </w:r>
            <w:r>
              <w:rPr>
                <w:rFonts w:hint="eastAsia" w:ascii="方正书宋_GBK" w:hAnsi="方正书宋_GBK" w:eastAsia="方正书宋_GBK" w:cs="方正书宋_GBK"/>
                <w:color w:val="000000"/>
                <w:kern w:val="0"/>
                <w:sz w:val="20"/>
                <w:szCs w:val="20"/>
                <w:lang w:val="en-US" w:eastAsia="zh-CN" w:bidi="ar"/>
              </w:rPr>
              <w:t>扩大内需</w:t>
            </w:r>
            <w:r>
              <w:rPr>
                <w:rFonts w:ascii="方正书宋_GBK" w:hAnsi="方正书宋_GBK" w:eastAsia="方正书宋_GBK" w:cs="方正书宋_GBK"/>
                <w:color w:val="000000"/>
                <w:kern w:val="0"/>
                <w:sz w:val="20"/>
                <w:szCs w:val="20"/>
                <w:lang w:val="en-US" w:eastAsia="zh-CN" w:bidi="ar"/>
              </w:rPr>
              <w:t>经济</w:t>
            </w:r>
            <w:r>
              <w:rPr>
                <w:rFonts w:hint="eastAsia" w:ascii="方正书宋_GBK" w:hAnsi="方正书宋_GBK" w:eastAsia="方正书宋_GBK" w:cs="方正书宋_GBK"/>
                <w:color w:val="000000"/>
                <w:kern w:val="0"/>
                <w:sz w:val="20"/>
                <w:szCs w:val="20"/>
                <w:lang w:val="en-US" w:eastAsia="zh-CN" w:bidi="ar"/>
              </w:rPr>
              <w:t>上。</w:t>
            </w:r>
          </w:p>
          <w:p>
            <w:pPr>
              <w:keepNext w:val="0"/>
              <w:keepLines w:val="0"/>
              <w:widowControl/>
              <w:suppressLineNumbers w:val="0"/>
              <w:ind w:firstLine="400" w:firstLineChars="200"/>
              <w:jc w:val="left"/>
              <w:rPr>
                <w:rFonts w:hint="eastAsia" w:ascii="方正书宋_GBK" w:hAnsi="方正书宋_GBK" w:eastAsia="方正书宋_GBK" w:cs="方正书宋_GBK"/>
                <w:color w:val="000000"/>
                <w:kern w:val="0"/>
                <w:sz w:val="20"/>
                <w:szCs w:val="20"/>
                <w:lang w:val="en-US" w:eastAsia="zh-CN" w:bidi="ar"/>
              </w:rPr>
            </w:pPr>
            <w:r>
              <w:rPr>
                <w:rFonts w:hint="eastAsia" w:ascii="方正书宋_GBK" w:hAnsi="方正书宋_GBK" w:eastAsia="方正书宋_GBK" w:cs="方正书宋_GBK"/>
                <w:color w:val="000000"/>
                <w:kern w:val="0"/>
                <w:sz w:val="20"/>
                <w:szCs w:val="20"/>
                <w:lang w:val="en-US" w:eastAsia="zh-CN" w:bidi="ar"/>
              </w:rPr>
              <w:t>在扩大内需上，从美国经验来看，股市具有财富效</w:t>
            </w:r>
            <w:r>
              <w:rPr>
                <w:rFonts w:hint="eastAsia" w:ascii="方正书宋_GBK" w:hAnsi="方正书宋_GBK" w:eastAsia="方正书宋_GBK" w:cs="方正书宋_GBK"/>
                <w:color w:val="000000"/>
                <w:kern w:val="0"/>
                <w:sz w:val="20"/>
                <w:szCs w:val="20"/>
                <w:lang w:val="en-US" w:eastAsia="zh-CN" w:bidi="ar"/>
              </w:rPr>
              <w:t>应。</w:t>
            </w:r>
            <w:r>
              <w:rPr>
                <w:rFonts w:hint="default" w:ascii="方正书宋_GBK" w:hAnsi="方正书宋_GBK" w:eastAsia="方正书宋_GBK" w:cs="方正书宋_GBK"/>
                <w:color w:val="000000"/>
                <w:kern w:val="0"/>
                <w:sz w:val="20"/>
                <w:szCs w:val="20"/>
                <w:lang w:val="en-US" w:eastAsia="zh-CN" w:bidi="ar"/>
              </w:rPr>
              <w:t>当家庭因企业股价</w:t>
            </w:r>
            <w:r>
              <w:rPr>
                <w:rFonts w:hint="eastAsia" w:ascii="方正书宋_GBK" w:hAnsi="方正书宋_GBK" w:eastAsia="方正书宋_GBK" w:cs="方正书宋_GBK"/>
                <w:color w:val="000000"/>
                <w:kern w:val="0"/>
                <w:sz w:val="20"/>
                <w:szCs w:val="20"/>
                <w:lang w:val="en-US" w:eastAsia="zh-CN" w:bidi="ar"/>
              </w:rPr>
              <w:t>的</w:t>
            </w:r>
            <w:r>
              <w:rPr>
                <w:rFonts w:hint="default" w:ascii="方正书宋_GBK" w:hAnsi="方正书宋_GBK" w:eastAsia="方正书宋_GBK" w:cs="方正书宋_GBK"/>
                <w:color w:val="000000"/>
                <w:kern w:val="0"/>
                <w:sz w:val="20"/>
                <w:szCs w:val="20"/>
                <w:lang w:val="en-US" w:eastAsia="zh-CN" w:bidi="ar"/>
              </w:rPr>
              <w:t>资产价值上涨而变得更富有时，他们会增加</w:t>
            </w:r>
            <w:r>
              <w:rPr>
                <w:rFonts w:hint="eastAsia" w:ascii="方正书宋_GBK" w:hAnsi="方正书宋_GBK" w:eastAsia="方正书宋_GBK" w:cs="方正书宋_GBK"/>
                <w:color w:val="000000"/>
                <w:kern w:val="0"/>
                <w:sz w:val="20"/>
                <w:szCs w:val="20"/>
                <w:lang w:val="en-US" w:eastAsia="zh-CN" w:bidi="ar"/>
              </w:rPr>
              <w:t>消费</w:t>
            </w:r>
            <w:r>
              <w:rPr>
                <w:rFonts w:hint="default" w:ascii="方正书宋_GBK" w:hAnsi="方正书宋_GBK" w:eastAsia="方正书宋_GBK" w:cs="方正书宋_GBK"/>
                <w:color w:val="000000"/>
                <w:kern w:val="0"/>
                <w:sz w:val="20"/>
                <w:szCs w:val="20"/>
                <w:lang w:val="en-US" w:eastAsia="zh-CN" w:bidi="ar"/>
              </w:rPr>
              <w:t>支出，</w:t>
            </w:r>
            <w:r>
              <w:rPr>
                <w:rFonts w:hint="eastAsia" w:ascii="方正书宋_GBK" w:hAnsi="方正书宋_GBK" w:eastAsia="方正书宋_GBK" w:cs="方正书宋_GBK"/>
                <w:color w:val="000000"/>
                <w:kern w:val="0"/>
                <w:sz w:val="20"/>
                <w:szCs w:val="20"/>
                <w:lang w:val="en-US" w:eastAsia="zh-CN" w:bidi="ar"/>
              </w:rPr>
              <w:t>由于消费乘数的存在，可以拉动</w:t>
            </w:r>
            <w:r>
              <w:rPr>
                <w:rFonts w:hint="default" w:ascii="方正书宋_GBK" w:hAnsi="方正书宋_GBK" w:eastAsia="方正书宋_GBK" w:cs="方正书宋_GBK"/>
                <w:color w:val="000000"/>
                <w:kern w:val="0"/>
                <w:sz w:val="20"/>
                <w:szCs w:val="20"/>
                <w:lang w:val="en-US" w:eastAsia="zh-CN" w:bidi="ar"/>
              </w:rPr>
              <w:t>经济</w:t>
            </w:r>
            <w:r>
              <w:rPr>
                <w:rFonts w:hint="eastAsia" w:ascii="方正书宋_GBK" w:hAnsi="方正书宋_GBK" w:eastAsia="方正书宋_GBK" w:cs="方正书宋_GBK"/>
                <w:color w:val="000000"/>
                <w:kern w:val="0"/>
                <w:sz w:val="20"/>
                <w:szCs w:val="20"/>
                <w:lang w:val="en-US" w:eastAsia="zh-CN" w:bidi="ar"/>
              </w:rPr>
              <w:t>增长；另一方面，财富效应导致的消费者支出增加，会带动社会就业人数的增长，有助于促进社会稳定。</w:t>
            </w:r>
          </w:p>
          <w:p>
            <w:pPr>
              <w:keepNext w:val="0"/>
              <w:keepLines w:val="0"/>
              <w:widowControl/>
              <w:suppressLineNumbers w:val="0"/>
              <w:ind w:firstLine="400" w:firstLineChars="200"/>
              <w:jc w:val="left"/>
              <w:rPr>
                <w:rFonts w:hint="default" w:ascii="方正书宋_GBK" w:hAnsi="方正书宋_GBK" w:eastAsia="方正书宋_GBK" w:cs="方正书宋_GBK"/>
                <w:color w:val="000000"/>
                <w:kern w:val="0"/>
                <w:sz w:val="20"/>
                <w:szCs w:val="20"/>
                <w:lang w:val="en-US" w:eastAsia="zh-CN" w:bidi="ar"/>
              </w:rPr>
            </w:pPr>
            <w:r>
              <w:rPr>
                <w:rFonts w:hint="eastAsia" w:ascii="方正书宋_GBK" w:hAnsi="方正书宋_GBK" w:eastAsia="方正书宋_GBK" w:cs="方正书宋_GBK"/>
                <w:color w:val="000000"/>
                <w:kern w:val="0"/>
                <w:sz w:val="20"/>
                <w:szCs w:val="20"/>
                <w:lang w:val="en-US" w:eastAsia="zh-CN" w:bidi="ar"/>
              </w:rPr>
              <w:t>本文旨在以美国股市财富效应对居民消费正向拉动的经验下，对中国股市是否存在财富效应进行研究和验证，并对股市的非对称性、滞后性进行研究，继而深入消费类别探讨财富效应影响的程度。最后，对充分发挥中国股市财富效应提出政策性建议。</w:t>
            </w:r>
          </w:p>
          <w:p>
            <w:pPr>
              <w:rPr>
                <w:rFonts w:hint="default" w:ascii="宋体" w:hAnsi="宋体" w:eastAsia="宋体"/>
                <w:color w:val="0000FF"/>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lang w:val="en-US" w:eastAsia="zh-CN"/>
              </w:rPr>
              <w:t>中国和美国股票市场财富效应对居民消费行为的影响对比研究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ind w:leftChars="0"/>
              <w:rPr>
                <w:rFonts w:hint="default" w:ascii="宋体" w:hAnsi="宋体" w:eastAsia="宋体"/>
                <w:sz w:val="24"/>
              </w:rPr>
            </w:pPr>
            <w:r>
              <w:rPr>
                <w:rFonts w:hint="default" w:ascii="宋体" w:hAnsi="宋体" w:eastAsia="宋体"/>
                <w:sz w:val="24"/>
              </w:rPr>
              <w:t>绪论</w:t>
            </w:r>
          </w:p>
          <w:p>
            <w:pPr>
              <w:numPr>
                <w:ilvl w:val="1"/>
                <w:numId w:val="2"/>
              </w:numPr>
              <w:rPr>
                <w:rFonts w:hint="default" w:ascii="宋体" w:hAnsi="宋体" w:eastAsia="宋体"/>
                <w:sz w:val="24"/>
                <w:lang w:val="en-US" w:eastAsia="zh-CN"/>
              </w:rPr>
            </w:pPr>
            <w:r>
              <w:rPr>
                <w:rFonts w:hint="eastAsia" w:ascii="宋体" w:hAnsi="宋体" w:eastAsia="宋体"/>
                <w:sz w:val="24"/>
                <w:lang w:val="en-US" w:eastAsia="zh-CN"/>
              </w:rPr>
              <w:t>研究背景及选题意义</w:t>
            </w:r>
          </w:p>
          <w:p>
            <w:pPr>
              <w:numPr>
                <w:ilvl w:val="1"/>
                <w:numId w:val="2"/>
              </w:numPr>
              <w:rPr>
                <w:rFonts w:hint="default" w:ascii="宋体" w:hAnsi="宋体" w:eastAsia="宋体"/>
                <w:sz w:val="24"/>
                <w:lang w:val="en-US" w:eastAsia="zh-CN"/>
              </w:rPr>
            </w:pPr>
            <w:r>
              <w:rPr>
                <w:rFonts w:hint="eastAsia" w:ascii="宋体" w:hAnsi="宋体" w:eastAsia="宋体"/>
                <w:sz w:val="24"/>
                <w:lang w:val="en-US" w:eastAsia="zh-CN"/>
              </w:rPr>
              <w:t>研究现状</w:t>
            </w:r>
          </w:p>
          <w:p>
            <w:pPr>
              <w:numPr>
                <w:ilvl w:val="1"/>
                <w:numId w:val="2"/>
              </w:numPr>
              <w:rPr>
                <w:rFonts w:hint="default" w:ascii="宋体" w:hAnsi="宋体" w:eastAsia="宋体"/>
                <w:sz w:val="24"/>
                <w:lang w:val="en-US" w:eastAsia="zh-CN"/>
              </w:rPr>
            </w:pPr>
            <w:r>
              <w:rPr>
                <w:rFonts w:hint="eastAsia" w:ascii="宋体" w:hAnsi="宋体" w:eastAsia="宋体"/>
                <w:sz w:val="24"/>
                <w:lang w:val="en-US" w:eastAsia="zh-CN"/>
              </w:rPr>
              <w:t>本文的研究思路、方法、框架</w:t>
            </w:r>
          </w:p>
          <w:p>
            <w:pPr>
              <w:numPr>
                <w:ilvl w:val="0"/>
                <w:numId w:val="0"/>
              </w:numPr>
              <w:ind w:leftChars="0"/>
              <w:rPr>
                <w:rFonts w:hint="default" w:ascii="宋体" w:hAnsi="宋体" w:eastAsia="宋体"/>
                <w:sz w:val="24"/>
                <w:lang w:val="en-US" w:eastAsia="zh-CN"/>
              </w:rPr>
            </w:pPr>
          </w:p>
          <w:p>
            <w:pPr>
              <w:numPr>
                <w:ilvl w:val="0"/>
                <w:numId w:val="1"/>
              </w:numPr>
              <w:ind w:leftChars="0"/>
              <w:rPr>
                <w:rFonts w:hint="default" w:ascii="宋体" w:hAnsi="宋体" w:eastAsia="宋体"/>
                <w:sz w:val="24"/>
              </w:rPr>
            </w:pPr>
            <w:r>
              <w:rPr>
                <w:rFonts w:hint="default" w:ascii="宋体" w:hAnsi="宋体" w:eastAsia="宋体"/>
                <w:sz w:val="24"/>
              </w:rPr>
              <w:t>文献</w:t>
            </w:r>
            <w:r>
              <w:rPr>
                <w:rFonts w:hint="eastAsia" w:ascii="宋体" w:hAnsi="宋体" w:eastAsia="宋体"/>
                <w:sz w:val="24"/>
                <w:lang w:val="en-US" w:eastAsia="zh-CN"/>
              </w:rPr>
              <w:t>综</w:t>
            </w:r>
            <w:r>
              <w:rPr>
                <w:rFonts w:hint="default" w:ascii="宋体" w:hAnsi="宋体" w:eastAsia="宋体"/>
                <w:sz w:val="24"/>
              </w:rPr>
              <w:t>述</w:t>
            </w:r>
            <w:r>
              <w:rPr>
                <w:rFonts w:hint="eastAsia" w:ascii="宋体" w:hAnsi="宋体" w:eastAsia="宋体"/>
                <w:sz w:val="24"/>
                <w:lang w:val="en-US" w:eastAsia="zh-CN"/>
              </w:rPr>
              <w:t>与</w:t>
            </w:r>
            <w:r>
              <w:rPr>
                <w:rFonts w:hint="default" w:ascii="宋体" w:hAnsi="宋体" w:eastAsia="宋体"/>
                <w:sz w:val="24"/>
              </w:rPr>
              <w:t>理论分析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2.1 国内外研究的文献综述</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2.2 消费函数理论</w:t>
            </w:r>
          </w:p>
          <w:p>
            <w:pPr>
              <w:widowControl w:val="0"/>
              <w:numPr>
                <w:ilvl w:val="0"/>
                <w:numId w:val="0"/>
              </w:numPr>
              <w:jc w:val="both"/>
              <w:rPr>
                <w:rFonts w:hint="default" w:ascii="宋体" w:hAnsi="宋体" w:eastAsia="宋体"/>
                <w:sz w:val="24"/>
                <w:lang w:val="en-US" w:eastAsia="zh-CN"/>
              </w:rPr>
            </w:pPr>
            <w:r>
              <w:rPr>
                <w:rFonts w:hint="eastAsia" w:ascii="宋体" w:hAnsi="宋体" w:eastAsia="宋体"/>
                <w:sz w:val="24"/>
                <w:lang w:val="en-US" w:eastAsia="zh-CN"/>
              </w:rPr>
              <w:t>2.3 股市财富效应</w:t>
            </w:r>
          </w:p>
          <w:p>
            <w:pPr>
              <w:widowControl w:val="0"/>
              <w:numPr>
                <w:ilvl w:val="0"/>
                <w:numId w:val="0"/>
              </w:numPr>
              <w:jc w:val="both"/>
              <w:rPr>
                <w:rFonts w:hint="eastAsia" w:ascii="宋体" w:hAnsi="宋体" w:eastAsia="宋体"/>
                <w:sz w:val="24"/>
                <w:lang w:val="en-US" w:eastAsia="zh-CN"/>
              </w:rPr>
            </w:pPr>
          </w:p>
          <w:p>
            <w:pPr>
              <w:numPr>
                <w:ilvl w:val="0"/>
                <w:numId w:val="1"/>
              </w:numPr>
              <w:ind w:leftChars="0"/>
              <w:rPr>
                <w:rFonts w:hint="eastAsia" w:ascii="宋体" w:hAnsi="宋体" w:eastAsia="宋体"/>
                <w:sz w:val="24"/>
                <w:lang w:val="en-US" w:eastAsia="zh-CN"/>
              </w:rPr>
            </w:pPr>
            <w:r>
              <w:rPr>
                <w:rFonts w:hint="eastAsia" w:ascii="宋体" w:hAnsi="宋体" w:eastAsia="宋体"/>
                <w:sz w:val="24"/>
                <w:lang w:val="en-US" w:eastAsia="zh-CN"/>
              </w:rPr>
              <w:t>中国股市财富效应研究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3.1 研究模型建立</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3.2 中国股市财富效应实证分析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3.3 研究结果</w:t>
            </w:r>
          </w:p>
          <w:p>
            <w:pPr>
              <w:numPr>
                <w:ilvl w:val="0"/>
                <w:numId w:val="0"/>
              </w:numPr>
              <w:rPr>
                <w:rFonts w:hint="default" w:ascii="宋体" w:hAnsi="宋体" w:eastAsia="宋体"/>
                <w:sz w:val="24"/>
                <w:lang w:val="en-US" w:eastAsia="zh-CN"/>
              </w:rPr>
            </w:pPr>
          </w:p>
          <w:p>
            <w:pPr>
              <w:numPr>
                <w:ilvl w:val="0"/>
                <w:numId w:val="1"/>
              </w:numPr>
              <w:ind w:leftChars="0"/>
              <w:rPr>
                <w:rFonts w:hint="eastAsia" w:ascii="宋体" w:hAnsi="宋体" w:eastAsia="宋体"/>
                <w:sz w:val="24"/>
                <w:lang w:val="en-US" w:eastAsia="zh-CN"/>
              </w:rPr>
            </w:pPr>
            <w:r>
              <w:rPr>
                <w:rFonts w:hint="eastAsia" w:ascii="宋体" w:hAnsi="宋体" w:eastAsia="宋体"/>
                <w:sz w:val="24"/>
                <w:lang w:val="en-US" w:eastAsia="zh-CN"/>
              </w:rPr>
              <w:t>中国和美国股市财富效应的差异分析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4.1 模型建立</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4.2 实证分析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4.3 研究结果</w:t>
            </w:r>
          </w:p>
          <w:p>
            <w:pPr>
              <w:numPr>
                <w:ilvl w:val="0"/>
                <w:numId w:val="0"/>
              </w:numPr>
              <w:rPr>
                <w:rFonts w:hint="default" w:ascii="宋体" w:hAnsi="宋体" w:eastAsia="宋体"/>
                <w:sz w:val="24"/>
                <w:lang w:val="en-US" w:eastAsia="zh-CN"/>
              </w:rPr>
            </w:pPr>
          </w:p>
          <w:p>
            <w:pPr>
              <w:numPr>
                <w:ilvl w:val="0"/>
                <w:numId w:val="1"/>
              </w:numPr>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中国和美国股市财富效应的差异原因分析</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5.1 国家发展阶段因素</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5.2 股票市场制度因素</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5.2 股市波动性因素</w:t>
            </w:r>
          </w:p>
          <w:p>
            <w:pPr>
              <w:numPr>
                <w:ilvl w:val="0"/>
                <w:numId w:val="0"/>
              </w:numPr>
              <w:ind w:leftChars="0"/>
              <w:rPr>
                <w:rFonts w:hint="default" w:ascii="宋体" w:hAnsi="宋体" w:eastAsia="宋体"/>
                <w:sz w:val="24"/>
                <w:lang w:val="en-US" w:eastAsia="zh-CN"/>
              </w:rPr>
            </w:pPr>
          </w:p>
          <w:p>
            <w:pPr>
              <w:numPr>
                <w:ilvl w:val="0"/>
                <w:numId w:val="0"/>
              </w:numPr>
              <w:ind w:leftChars="0"/>
              <w:rPr>
                <w:rFonts w:hint="eastAsia" w:ascii="宋体" w:hAnsi="宋体" w:eastAsia="宋体"/>
                <w:sz w:val="24"/>
                <w:lang w:val="en-US" w:eastAsia="zh-CN"/>
              </w:rPr>
            </w:pPr>
          </w:p>
          <w:p>
            <w:pPr>
              <w:numPr>
                <w:ilvl w:val="0"/>
                <w:numId w:val="1"/>
              </w:numPr>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中国股市财富效应的深入探讨</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6.1 非对称性</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6.2 滞后性</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6.3 消费品类影响程度</w:t>
            </w:r>
          </w:p>
          <w:p>
            <w:pPr>
              <w:numPr>
                <w:ilvl w:val="0"/>
                <w:numId w:val="0"/>
              </w:numPr>
              <w:ind w:leftChars="0"/>
              <w:rPr>
                <w:rFonts w:hint="default" w:ascii="宋体" w:hAnsi="宋体" w:eastAsia="宋体"/>
                <w:sz w:val="24"/>
                <w:lang w:val="en-US" w:eastAsia="zh-CN"/>
              </w:rPr>
            </w:pP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结论与政策性建议</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7.1 本文主要结论</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7.2 发挥股市财富效应的政策性建议</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7.3 本文的创新之处</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7.4 本文的研究局限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论文素材、数据及参考书目</w:t>
            </w:r>
          </w:p>
        </w:tc>
        <w:tc>
          <w:tcPr>
            <w:tcW w:w="6982" w:type="dxa"/>
            <w:vAlign w:val="center"/>
          </w:tcPr>
          <w:p>
            <w:pPr>
              <w:numPr>
                <w:ilvl w:val="0"/>
                <w:numId w:val="3"/>
              </w:numPr>
              <w:ind w:left="210" w:hanging="210" w:hangingChars="100"/>
              <w:rPr>
                <w:rFonts w:hint="eastAsia"/>
                <w:lang w:val="en-US" w:eastAsia="zh-CN"/>
              </w:rPr>
            </w:pPr>
            <w:r>
              <w:rPr>
                <w:rFonts w:hint="eastAsia"/>
                <w:lang w:val="en-US" w:eastAsia="zh-CN"/>
              </w:rPr>
              <w:t>郭金林，试论发展证券市场在启动国内消费中的作用与途径，消费经济，2000年第1期，52-54</w:t>
            </w:r>
          </w:p>
          <w:p>
            <w:pPr>
              <w:numPr>
                <w:ilvl w:val="0"/>
                <w:numId w:val="3"/>
              </w:numPr>
              <w:ind w:left="210" w:hanging="210" w:hangingChars="100"/>
              <w:rPr>
                <w:rFonts w:hint="eastAsia"/>
                <w:lang w:val="en-US" w:eastAsia="zh-CN"/>
              </w:rPr>
            </w:pPr>
            <w:r>
              <w:rPr>
                <w:rFonts w:hint="eastAsia"/>
                <w:lang w:val="en-US" w:eastAsia="zh-CN"/>
              </w:rPr>
              <w:t>刘鹤，我国股票市场财富效应实证研究，金融经济，2006年第6期，53-54</w:t>
            </w:r>
          </w:p>
          <w:p>
            <w:pPr>
              <w:numPr>
                <w:ilvl w:val="0"/>
                <w:numId w:val="3"/>
              </w:numPr>
              <w:ind w:left="210" w:hanging="210" w:hangingChars="100"/>
            </w:pPr>
            <w:r>
              <w:rPr>
                <w:rFonts w:hint="eastAsia"/>
                <w:lang w:val="en-US" w:eastAsia="zh-CN"/>
              </w:rPr>
              <w:t>张云，我国股市“财富效应”传导机制初探，商业研究，2006年第7期，171-173</w:t>
            </w:r>
          </w:p>
          <w:p>
            <w:pPr>
              <w:numPr>
                <w:ilvl w:val="0"/>
                <w:numId w:val="3"/>
              </w:numPr>
              <w:ind w:left="210" w:hanging="210" w:hangingChars="100"/>
              <w:rPr>
                <w:rFonts w:hint="eastAsia"/>
                <w:lang w:val="en-US" w:eastAsia="zh-CN"/>
              </w:rPr>
            </w:pPr>
            <w:r>
              <w:rPr>
                <w:rFonts w:hint="eastAsia"/>
                <w:lang w:val="en-US" w:eastAsia="zh-CN"/>
              </w:rPr>
              <w:t>卢嘉瑞、朱亚杰</w:t>
            </w:r>
            <w:r>
              <w:rPr>
                <w:rFonts w:hint="default"/>
                <w:lang w:val="en-US" w:eastAsia="zh-CN"/>
              </w:rPr>
              <w:t>，</w:t>
            </w:r>
            <w:r>
              <w:rPr>
                <w:rFonts w:hint="eastAsia"/>
                <w:lang w:val="en-US" w:eastAsia="zh-CN"/>
              </w:rPr>
              <w:t>股市财富效应及其传导机制，经济评论</w:t>
            </w:r>
            <w:r>
              <w:rPr>
                <w:rFonts w:hint="default"/>
                <w:lang w:val="en-US" w:eastAsia="zh-CN"/>
              </w:rPr>
              <w:t>，2006，( 6) :36－44</w:t>
            </w:r>
          </w:p>
          <w:p>
            <w:pPr>
              <w:numPr>
                <w:ilvl w:val="0"/>
                <w:numId w:val="3"/>
              </w:numPr>
              <w:ind w:left="210" w:hanging="210" w:hangingChars="100"/>
              <w:rPr>
                <w:rFonts w:hint="eastAsia"/>
                <w:lang w:val="en-US" w:eastAsia="zh-CN"/>
              </w:rPr>
            </w:pPr>
          </w:p>
          <w:p>
            <w:pPr>
              <w:numPr>
                <w:ilvl w:val="0"/>
                <w:numId w:val="3"/>
              </w:numPr>
              <w:ind w:left="210" w:hanging="210" w:hangingChars="100"/>
              <w:rPr>
                <w:rFonts w:hint="eastAsia"/>
                <w:lang w:val="en-US" w:eastAsia="zh-CN"/>
              </w:rPr>
            </w:pPr>
            <w:r>
              <w:rPr>
                <w:rFonts w:hint="eastAsia"/>
                <w:lang w:val="en-US" w:eastAsia="zh-CN"/>
              </w:rPr>
              <w:t>郑民，中美股票市场财富效应比较，复旦大学硕士论文，2021年</w:t>
            </w:r>
          </w:p>
          <w:p>
            <w:pPr>
              <w:numPr>
                <w:ilvl w:val="0"/>
                <w:numId w:val="3"/>
              </w:numPr>
              <w:ind w:left="210" w:hanging="210" w:hangingChars="100"/>
              <w:rPr>
                <w:rFonts w:hint="eastAsia"/>
                <w:lang w:val="en-US" w:eastAsia="zh-CN"/>
              </w:rPr>
            </w:pPr>
            <w:r>
              <w:rPr>
                <w:rFonts w:hint="eastAsia"/>
                <w:lang w:val="en-US" w:eastAsia="zh-CN"/>
              </w:rPr>
              <w:t>刘倩，美国与中国股票市场财富效应对比研究——基于 2013－2018 年数据，广西质量监督导报，2019年05期</w:t>
            </w:r>
          </w:p>
          <w:p>
            <w:pPr>
              <w:numPr>
                <w:ilvl w:val="0"/>
                <w:numId w:val="3"/>
              </w:numPr>
              <w:ind w:left="210" w:hanging="210" w:hangingChars="100"/>
              <w:rPr>
                <w:rFonts w:hint="default" w:ascii="宋体" w:hAnsi="宋体" w:eastAsia="宋体"/>
                <w:sz w:val="24"/>
                <w:lang w:val="en-US" w:eastAsia="zh-CN"/>
              </w:rPr>
            </w:pPr>
            <w:r>
              <w:rPr>
                <w:rFonts w:hint="eastAsia"/>
                <w:lang w:val="en-US" w:eastAsia="zh-CN"/>
              </w:rPr>
              <w:t>赵庆明、郭孟旸，我国股市财富效应对居民消费影响的实证检验——基于生命周期—持久收入理论扩展模型的新视角，</w:t>
            </w:r>
            <w:r>
              <w:rPr>
                <w:rFonts w:hint="eastAsia"/>
                <w:lang w:val="en-US" w:eastAsia="zh-CN"/>
              </w:rPr>
              <w:fldChar w:fldCharType="begin"/>
            </w:r>
            <w:r>
              <w:rPr>
                <w:rFonts w:hint="eastAsia"/>
                <w:lang w:val="en-US" w:eastAsia="zh-CN"/>
              </w:rPr>
              <w:instrText xml:space="preserve"> HYPERLINK "https://www.wanfangdata.com.cn/perio/detail.do?perio_id=zqscdb&amp;perio_title=%E8%AF%81%E5%88%B8%E5%B8%82%E5%9C%BA%E5%AF%BC%E6%8A%A5&amp;extra=column&amp;ztext=%E7%90%86%E8%AE%BA%E7%BB%BC%E5%90%88&amp;tabId=column" \t "https://d.wanfangdata.com.cn/periodical/_blank" </w:instrText>
            </w:r>
            <w:r>
              <w:rPr>
                <w:rFonts w:hint="eastAsia"/>
                <w:lang w:val="en-US" w:eastAsia="zh-CN"/>
              </w:rPr>
              <w:fldChar w:fldCharType="separate"/>
            </w:r>
            <w:r>
              <w:rPr>
                <w:rFonts w:hint="default"/>
                <w:lang w:val="en-US" w:eastAsia="zh-CN"/>
              </w:rPr>
              <w:t>理论综合</w:t>
            </w:r>
            <w:r>
              <w:rPr>
                <w:rFonts w:hint="default"/>
                <w:lang w:val="en-US" w:eastAsia="zh-CN"/>
              </w:rPr>
              <w:fldChar w:fldCharType="end"/>
            </w:r>
            <w:r>
              <w:rPr>
                <w:rFonts w:hint="eastAsia"/>
                <w:lang w:val="en-US" w:eastAsia="zh-CN"/>
              </w:rPr>
              <w:t>，2020（1），31-37</w:t>
            </w:r>
            <w:bookmarkStart w:id="0" w:name="_GoBack"/>
            <w:bookmarkEnd w:id="0"/>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黑体_GBK">
    <w:altName w:val="微软雅黑"/>
    <w:panose1 w:val="00000000000000000000"/>
    <w:charset w:val="00"/>
    <w:family w:val="auto"/>
    <w:pitch w:val="default"/>
    <w:sig w:usb0="00000000" w:usb1="00000000" w:usb2="00000000" w:usb3="00000000" w:csb0="00000000" w:csb1="00000000"/>
  </w:font>
  <w:font w:name="FSJ0">
    <w:altName w:val="Segoe Print"/>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E-BZ">
    <w:altName w:val="Segoe Print"/>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800002BF" w:usb1="38CF7CFA" w:usb2="00000016" w:usb3="00000000" w:csb0="00040000" w:csb1="00000000"/>
  </w:font>
  <w:font w:name="??">
    <w:altName w:val="Segoe Print"/>
    <w:panose1 w:val="00000000000000000000"/>
    <w:charset w:val="00"/>
    <w:family w:val="auto"/>
    <w:pitch w:val="default"/>
    <w:sig w:usb0="00000000" w:usb1="00000000" w:usb2="00000000" w:usb3="00000000" w:csb0="00000000" w:csb1="00000000"/>
  </w:font>
  <w:font w:name="Encryptio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9F0F65"/>
    <w:multiLevelType w:val="multilevel"/>
    <w:tmpl w:val="D49F0F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FFD39E7"/>
    <w:multiLevelType w:val="singleLevel"/>
    <w:tmpl w:val="4FFD39E7"/>
    <w:lvl w:ilvl="0" w:tentative="0">
      <w:start w:val="1"/>
      <w:numFmt w:val="decimal"/>
      <w:lvlText w:val="%1."/>
      <w:lvlJc w:val="left"/>
      <w:pPr>
        <w:tabs>
          <w:tab w:val="left" w:pos="312"/>
        </w:tabs>
      </w:pPr>
    </w:lvl>
  </w:abstractNum>
  <w:abstractNum w:abstractNumId="2">
    <w:nsid w:val="724EFAF3"/>
    <w:multiLevelType w:val="singleLevel"/>
    <w:tmpl w:val="724EFAF3"/>
    <w:lvl w:ilvl="0" w:tentative="0">
      <w:start w:val="1"/>
      <w:numFmt w:val="decimal"/>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B1F0F90"/>
    <w:rsid w:val="2A0F7C6A"/>
    <w:rsid w:val="35833977"/>
    <w:rsid w:val="36577149"/>
    <w:rsid w:val="3B3817DE"/>
    <w:rsid w:val="3D263AA8"/>
    <w:rsid w:val="5CFA09FB"/>
    <w:rsid w:val="61EA41A5"/>
    <w:rsid w:val="6DB04A48"/>
    <w:rsid w:val="747A5B25"/>
    <w:rsid w:val="767247DD"/>
    <w:rsid w:val="772F5CC7"/>
    <w:rsid w:val="7F273A06"/>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r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TotalTime>
  <ScaleCrop>false</ScaleCrop>
  <LinksUpToDate>false</LinksUpToDate>
  <CharactersWithSpaces>471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大墨</cp:lastModifiedBy>
  <dcterms:modified xsi:type="dcterms:W3CDTF">2021-06-09T09:21:35Z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2BD4406079604C3A856C6A893B316A2C</vt:lpwstr>
  </property>
</Properties>
</file>