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81040441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王淑坚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上海</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19916931773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476399430@qq.com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厦门大学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材料科学与工程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申银万国期货有限公司上海浦电路营业部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经理助理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3"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19</w:t>
            </w:r>
            <w:r>
              <w:rPr>
                <w:rFonts w:hint="eastAsia" w:ascii="宋体" w:hAnsi="宋体" w:eastAsia="宋体"/>
                <w:sz w:val="24"/>
                <w:lang w:val="en-US" w:eastAsia="zh-CN"/>
              </w:rPr>
              <w:t>93</w:t>
            </w:r>
            <w:r>
              <w:rPr>
                <w:rFonts w:ascii="宋体" w:hAnsi="宋体" w:eastAsia="宋体"/>
                <w:sz w:val="24"/>
              </w:rPr>
              <w:t>出生，籍贯</w:t>
            </w:r>
            <w:r>
              <w:rPr>
                <w:rFonts w:hint="eastAsia" w:ascii="宋体" w:hAnsi="宋体" w:eastAsia="宋体"/>
                <w:sz w:val="24"/>
                <w:lang w:eastAsia="zh-CN"/>
              </w:rPr>
              <w:t>福建省武夷山市</w:t>
            </w:r>
            <w:r>
              <w:rPr>
                <w:rFonts w:ascii="宋体" w:hAnsi="宋体" w:eastAsia="宋体"/>
                <w:sz w:val="24"/>
              </w:rPr>
              <w:t>，20</w:t>
            </w:r>
            <w:r>
              <w:rPr>
                <w:rFonts w:hint="eastAsia" w:ascii="宋体" w:hAnsi="宋体" w:eastAsia="宋体"/>
                <w:sz w:val="24"/>
                <w:lang w:val="en-US" w:eastAsia="zh-CN"/>
              </w:rPr>
              <w:t>11</w:t>
            </w:r>
            <w:r>
              <w:rPr>
                <w:rFonts w:ascii="宋体" w:hAnsi="宋体" w:eastAsia="宋体"/>
                <w:sz w:val="24"/>
              </w:rPr>
              <w:t>-20</w:t>
            </w:r>
            <w:r>
              <w:rPr>
                <w:rFonts w:hint="eastAsia" w:ascii="宋体" w:hAnsi="宋体" w:eastAsia="宋体"/>
                <w:sz w:val="24"/>
                <w:lang w:val="en-US" w:eastAsia="zh-CN"/>
              </w:rPr>
              <w:t>15</w:t>
            </w:r>
            <w:r>
              <w:rPr>
                <w:rFonts w:ascii="宋体" w:hAnsi="宋体" w:eastAsia="宋体"/>
                <w:sz w:val="24"/>
              </w:rPr>
              <w:t>年就读于</w:t>
            </w:r>
            <w:r>
              <w:rPr>
                <w:rFonts w:hint="eastAsia" w:ascii="宋体" w:hAnsi="宋体" w:eastAsia="宋体"/>
                <w:sz w:val="24"/>
                <w:lang w:eastAsia="zh-CN"/>
              </w:rPr>
              <w:t>厦门大学</w:t>
            </w:r>
            <w:r>
              <w:rPr>
                <w:rFonts w:ascii="宋体" w:hAnsi="宋体" w:eastAsia="宋体"/>
                <w:sz w:val="24"/>
              </w:rPr>
              <w:t>。</w:t>
            </w:r>
          </w:p>
          <w:p>
            <w:pPr>
              <w:rPr>
                <w:rFonts w:hint="default" w:ascii="宋体" w:hAnsi="宋体" w:eastAsia="宋体"/>
                <w:sz w:val="24"/>
              </w:rPr>
            </w:pPr>
            <w:r>
              <w:rPr>
                <w:rFonts w:hint="default" w:ascii="宋体" w:hAnsi="宋体" w:eastAsia="宋体"/>
                <w:sz w:val="24"/>
              </w:rPr>
              <w:t>20</w:t>
            </w:r>
            <w:r>
              <w:rPr>
                <w:rFonts w:hint="eastAsia" w:ascii="宋体" w:hAnsi="宋体" w:eastAsia="宋体"/>
                <w:sz w:val="24"/>
                <w:lang w:val="en-US" w:eastAsia="zh-CN"/>
              </w:rPr>
              <w:t>15</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月-201</w:t>
            </w:r>
            <w:r>
              <w:rPr>
                <w:rFonts w:hint="eastAsia" w:ascii="宋体" w:hAnsi="宋体" w:eastAsia="宋体"/>
                <w:sz w:val="24"/>
                <w:lang w:val="en-US" w:eastAsia="zh-CN"/>
              </w:rPr>
              <w:t>8</w:t>
            </w:r>
            <w:r>
              <w:rPr>
                <w:rFonts w:hint="default" w:ascii="宋体" w:hAnsi="宋体" w:eastAsia="宋体"/>
                <w:sz w:val="24"/>
              </w:rPr>
              <w:t>年</w:t>
            </w:r>
            <w:r>
              <w:rPr>
                <w:rFonts w:hint="eastAsia" w:ascii="宋体" w:hAnsi="宋体" w:eastAsia="宋体"/>
                <w:sz w:val="24"/>
                <w:lang w:val="en-US" w:eastAsia="zh-CN"/>
              </w:rPr>
              <w:t>3</w:t>
            </w:r>
            <w:r>
              <w:rPr>
                <w:rFonts w:hint="default" w:ascii="宋体" w:hAnsi="宋体" w:eastAsia="宋体"/>
                <w:sz w:val="24"/>
              </w:rPr>
              <w:t>月就职于</w:t>
            </w:r>
            <w:r>
              <w:rPr>
                <w:rFonts w:hint="eastAsia" w:ascii="宋体" w:hAnsi="宋体" w:eastAsia="宋体"/>
                <w:sz w:val="24"/>
                <w:lang w:eastAsia="zh-CN"/>
              </w:rPr>
              <w:t>福建华电可门发电有限公司发电部，任助理工程师</w:t>
            </w:r>
            <w:r>
              <w:rPr>
                <w:rFonts w:hint="default" w:ascii="宋体" w:hAnsi="宋体" w:eastAsia="宋体"/>
                <w:sz w:val="24"/>
              </w:rPr>
              <w:t>；201</w:t>
            </w:r>
            <w:r>
              <w:rPr>
                <w:rFonts w:hint="eastAsia" w:ascii="宋体" w:hAnsi="宋体" w:eastAsia="宋体"/>
                <w:sz w:val="24"/>
                <w:lang w:val="en-US" w:eastAsia="zh-CN"/>
              </w:rPr>
              <w:t>8</w:t>
            </w:r>
            <w:r>
              <w:rPr>
                <w:rFonts w:hint="default" w:ascii="宋体" w:hAnsi="宋体" w:eastAsia="宋体"/>
                <w:sz w:val="24"/>
              </w:rPr>
              <w:t>年</w:t>
            </w:r>
            <w:r>
              <w:rPr>
                <w:rFonts w:hint="eastAsia" w:ascii="宋体" w:hAnsi="宋体" w:eastAsia="宋体"/>
                <w:sz w:val="24"/>
                <w:lang w:val="en-US" w:eastAsia="zh-CN"/>
              </w:rPr>
              <w:t>4</w:t>
            </w:r>
            <w:r>
              <w:rPr>
                <w:rFonts w:hint="default" w:ascii="宋体" w:hAnsi="宋体" w:eastAsia="宋体"/>
                <w:sz w:val="24"/>
              </w:rPr>
              <w:t>月-</w:t>
            </w:r>
            <w:r>
              <w:rPr>
                <w:rFonts w:hint="eastAsia" w:ascii="宋体" w:hAnsi="宋体" w:eastAsia="宋体"/>
                <w:sz w:val="24"/>
                <w:lang w:val="en-US" w:eastAsia="zh-CN"/>
              </w:rPr>
              <w:t>2021年3月</w:t>
            </w:r>
            <w:r>
              <w:rPr>
                <w:rFonts w:hint="default" w:ascii="宋体" w:hAnsi="宋体" w:eastAsia="宋体"/>
                <w:sz w:val="24"/>
              </w:rPr>
              <w:t>，就职于</w:t>
            </w:r>
            <w:r>
              <w:rPr>
                <w:rFonts w:hint="eastAsia" w:ascii="宋体" w:hAnsi="宋体" w:eastAsia="宋体"/>
                <w:sz w:val="24"/>
                <w:lang w:eastAsia="zh-CN"/>
              </w:rPr>
              <w:t>申银万国期货</w:t>
            </w:r>
            <w:r>
              <w:rPr>
                <w:rFonts w:hint="default" w:ascii="宋体" w:hAnsi="宋体" w:eastAsia="宋体"/>
                <w:sz w:val="24"/>
              </w:rPr>
              <w:t>有限公司</w:t>
            </w:r>
            <w:r>
              <w:rPr>
                <w:rFonts w:hint="eastAsia" w:ascii="宋体" w:hAnsi="宋体" w:eastAsia="宋体"/>
                <w:sz w:val="24"/>
                <w:lang w:eastAsia="zh-CN"/>
              </w:rPr>
              <w:t>上海新昌路营业部，</w:t>
            </w:r>
            <w:r>
              <w:rPr>
                <w:rFonts w:hint="eastAsia" w:ascii="宋体" w:hAnsi="宋体" w:eastAsia="宋体"/>
                <w:sz w:val="24"/>
                <w:lang w:val="en-US" w:eastAsia="zh-CN"/>
              </w:rPr>
              <w:t>任</w:t>
            </w:r>
            <w:r>
              <w:rPr>
                <w:rFonts w:hint="eastAsia" w:ascii="宋体" w:hAnsi="宋体" w:eastAsia="宋体"/>
                <w:sz w:val="24"/>
                <w:lang w:eastAsia="zh-CN"/>
              </w:rPr>
              <w:t>市场拓展；</w:t>
            </w:r>
            <w:r>
              <w:rPr>
                <w:rFonts w:hint="eastAsia" w:ascii="宋体" w:hAnsi="宋体" w:eastAsia="宋体"/>
                <w:sz w:val="24"/>
                <w:lang w:val="en-US" w:eastAsia="zh-CN"/>
              </w:rPr>
              <w:t>2020年获公司优秀员工、优秀党员称号；2021年4月至今，调任</w:t>
            </w:r>
            <w:r>
              <w:rPr>
                <w:rFonts w:hint="eastAsia" w:ascii="宋体" w:hAnsi="宋体" w:eastAsia="宋体"/>
                <w:sz w:val="24"/>
                <w:lang w:eastAsia="zh-CN"/>
              </w:rPr>
              <w:t>申银万国期货</w:t>
            </w:r>
            <w:r>
              <w:rPr>
                <w:rFonts w:hint="default" w:ascii="宋体" w:hAnsi="宋体" w:eastAsia="宋体"/>
                <w:sz w:val="24"/>
              </w:rPr>
              <w:t>有限公司</w:t>
            </w:r>
            <w:r>
              <w:rPr>
                <w:rFonts w:hint="eastAsia" w:ascii="宋体" w:hAnsi="宋体" w:eastAsia="宋体"/>
                <w:sz w:val="24"/>
                <w:lang w:eastAsia="zh-CN"/>
              </w:rPr>
              <w:t>上海浦电路营业部经理助理，</w:t>
            </w:r>
            <w:r>
              <w:rPr>
                <w:rFonts w:hint="eastAsia" w:ascii="宋体" w:hAnsi="宋体" w:eastAsia="宋体"/>
                <w:sz w:val="24"/>
                <w:lang w:val="en-US" w:eastAsia="zh-CN"/>
              </w:rPr>
              <w:t>负责营业部业绩引领并协助营业部经理进行部门管理</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银行保险机构参与国债期货的必要性与解决方案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学海拾贝：上海人大人学员论文集.十八 ISBN 978-7-5427-6102-6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rPr>
              <w:t>2020年2月21日，证监会等部门宣布允许符合条件的试点商业银行和具备投资管理能力的保险机构参与中国金融期货交易所国债期货交易。国债期货具有降低交易成本、促进价格发现和优化风险配置的功能。随着国内金融业对外开放不断加速，拥有丰富的衍生品交易经验的外资机构将给国内银行、保险机构带来巨大挑战。论文主要讨论了我国银行保险参与国债期货交易的必要性并提出了相应的解决方案。</w:t>
            </w:r>
          </w:p>
        </w:tc>
      </w:tr>
    </w:tbl>
    <w:p>
      <w:pPr>
        <w:rPr>
          <w:rFonts w:hint="default" w:eastAsiaTheme="minorEastAsia"/>
          <w:lang w:val="en-US" w:eastAsia="zh-CN"/>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券商参与度对期货行业发展的促进作用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2007年前后，受期货市场即将上市股指期货的影响，大量券商进行了收购期货公司的行为。此后，期货行业呈现出不同于之前的高质量发展。2020年前后，在部分券商的带头下，许多券商对所控股期货公司进行了增资和CTA产品、雪球产品等衍生品基金的销售工作。期货市场规模从2020年初的5000亿至2021年初的1万亿，期货行业进入前所未有的发展提速、提质阶段，迈上了新的历史台阶。</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文从理论分析出发，分析了券商参与度对期货行业发展具有促进作用。但与此同时，期货行业的参与者也都在逐步发展。比如交易所不断推出新的期货、期权品种，软件交易商不断提升交易速度与便捷度，上市公司不断参与套期保值等等，为了说明券商参与度对期货行业发展具有促进作用，本文进行了变量的相关性检验、双重差分分析等实证分析。</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期货行业是具有价格发现、风险管理、争取大宗商品定价权等重要功能的行业，如果促进期货行业健康发展、服务实体经济，是值得深入研究的。本文最后，根据研究结论，提出了加强券商参与度促进期货行业发展的几条建议。</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当前可查阅到的关于期货行业的研究，多注重于某个具体业务，多为案例研究，而对市场总体把握与介绍的研究较少，特别是关于整个期货行业发展影响因素的实证分析较为薄弱。本文从补充了2020年的行业数据并进行了分析，具有一定的数据更新贡献；本文还对相关性、显著性进行了实证研究，具有一定的文献补充贡献；对于期货行业的发展，也提出了一些相关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rPr>
            </w:pPr>
            <w:r>
              <w:rPr>
                <w:rFonts w:hint="eastAsia" w:ascii="宋体" w:hAnsi="宋体" w:eastAsia="宋体"/>
                <w:sz w:val="24"/>
                <w:lang w:val="en-US" w:eastAsia="zh-CN"/>
              </w:rPr>
              <w:t>券商参与度对期货行业发展的促进作用——基于期货行业历史数据的实证分析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r>
              <w:rPr>
                <w:rFonts w:hint="eastAsia" w:ascii="宋体" w:hAnsi="宋体" w:eastAsia="宋体"/>
                <w:sz w:val="24"/>
              </w:rPr>
              <w:t>第1章 绪论</w:t>
            </w:r>
          </w:p>
          <w:p>
            <w:pPr>
              <w:rPr>
                <w:rFonts w:hint="eastAsia" w:ascii="宋体" w:hAnsi="宋体" w:eastAsia="宋体"/>
                <w:sz w:val="24"/>
              </w:rPr>
            </w:pPr>
            <w:r>
              <w:rPr>
                <w:rFonts w:hint="eastAsia" w:ascii="宋体" w:hAnsi="宋体" w:eastAsia="宋体"/>
                <w:sz w:val="24"/>
              </w:rPr>
              <w:t>1.1研究背景与意义</w:t>
            </w:r>
          </w:p>
          <w:p>
            <w:pPr>
              <w:rPr>
                <w:rFonts w:hint="eastAsia" w:ascii="宋体" w:hAnsi="宋体" w:eastAsia="宋体"/>
                <w:sz w:val="24"/>
              </w:rPr>
            </w:pPr>
            <w:r>
              <w:rPr>
                <w:rFonts w:hint="eastAsia" w:ascii="宋体" w:hAnsi="宋体" w:eastAsia="宋体"/>
                <w:sz w:val="24"/>
              </w:rPr>
              <w:t>1.2文献综述</w:t>
            </w:r>
          </w:p>
          <w:p>
            <w:pPr>
              <w:rPr>
                <w:rFonts w:hint="eastAsia" w:ascii="宋体" w:hAnsi="宋体" w:eastAsia="宋体"/>
                <w:sz w:val="24"/>
              </w:rPr>
            </w:pPr>
            <w:r>
              <w:rPr>
                <w:rFonts w:hint="eastAsia" w:ascii="宋体" w:hAnsi="宋体" w:eastAsia="宋体"/>
                <w:sz w:val="24"/>
              </w:rPr>
              <w:t>1.3理论基础</w:t>
            </w:r>
          </w:p>
          <w:p>
            <w:pPr>
              <w:rPr>
                <w:rFonts w:hint="eastAsia" w:ascii="宋体" w:hAnsi="宋体" w:eastAsia="宋体"/>
                <w:sz w:val="24"/>
              </w:rPr>
            </w:pPr>
            <w:r>
              <w:rPr>
                <w:rFonts w:hint="eastAsia" w:ascii="宋体" w:hAnsi="宋体" w:eastAsia="宋体"/>
                <w:sz w:val="24"/>
              </w:rPr>
              <w:t>1.3.1产业融合理论</w:t>
            </w:r>
          </w:p>
          <w:p>
            <w:pPr>
              <w:rPr>
                <w:rFonts w:hint="eastAsia" w:ascii="宋体" w:hAnsi="宋体" w:eastAsia="宋体"/>
                <w:sz w:val="24"/>
              </w:rPr>
            </w:pPr>
            <w:r>
              <w:rPr>
                <w:rFonts w:hint="eastAsia" w:ascii="宋体" w:hAnsi="宋体" w:eastAsia="宋体"/>
                <w:sz w:val="24"/>
              </w:rPr>
              <w:t>1.3.2产业发展理论</w:t>
            </w:r>
          </w:p>
          <w:p>
            <w:pPr>
              <w:rPr>
                <w:rFonts w:hint="eastAsia" w:ascii="宋体" w:hAnsi="宋体" w:eastAsia="宋体"/>
                <w:sz w:val="24"/>
              </w:rPr>
            </w:pPr>
            <w:r>
              <w:rPr>
                <w:rFonts w:hint="eastAsia" w:ascii="宋体" w:hAnsi="宋体" w:eastAsia="宋体"/>
                <w:sz w:val="24"/>
              </w:rPr>
              <w:t>1.4研究思路与框架</w:t>
            </w:r>
          </w:p>
          <w:p>
            <w:pPr>
              <w:rPr>
                <w:rFonts w:hint="eastAsia" w:ascii="宋体" w:hAnsi="宋体" w:eastAsia="宋体"/>
                <w:sz w:val="24"/>
              </w:rPr>
            </w:pPr>
            <w:r>
              <w:rPr>
                <w:rFonts w:hint="eastAsia" w:ascii="宋体" w:hAnsi="宋体" w:eastAsia="宋体"/>
                <w:sz w:val="24"/>
              </w:rPr>
              <w:t>1.5创新点与不足</w:t>
            </w:r>
          </w:p>
          <w:p>
            <w:pPr>
              <w:rPr>
                <w:rFonts w:hint="eastAsia" w:ascii="宋体" w:hAnsi="宋体" w:eastAsia="宋体"/>
                <w:sz w:val="24"/>
              </w:rPr>
            </w:pPr>
            <w:r>
              <w:rPr>
                <w:rFonts w:hint="eastAsia" w:ascii="宋体" w:hAnsi="宋体" w:eastAsia="宋体"/>
                <w:sz w:val="24"/>
              </w:rPr>
              <w:t>第2章 我国期货行业的两次重大进展及券商参与情况</w:t>
            </w:r>
          </w:p>
          <w:p>
            <w:pPr>
              <w:rPr>
                <w:rFonts w:hint="eastAsia" w:ascii="宋体" w:hAnsi="宋体" w:eastAsia="宋体"/>
                <w:sz w:val="24"/>
              </w:rPr>
            </w:pPr>
            <w:r>
              <w:rPr>
                <w:rFonts w:hint="eastAsia" w:ascii="宋体" w:hAnsi="宋体" w:eastAsia="宋体"/>
                <w:sz w:val="24"/>
              </w:rPr>
              <w:t>2.1 2007年前后期货行业的发展及券商参与度</w:t>
            </w:r>
          </w:p>
          <w:p>
            <w:pPr>
              <w:rPr>
                <w:rFonts w:hint="eastAsia" w:ascii="宋体" w:hAnsi="宋体" w:eastAsia="宋体"/>
                <w:sz w:val="24"/>
              </w:rPr>
            </w:pPr>
            <w:r>
              <w:rPr>
                <w:rFonts w:hint="eastAsia" w:ascii="宋体" w:hAnsi="宋体" w:eastAsia="宋体"/>
                <w:sz w:val="24"/>
              </w:rPr>
              <w:t>2.2 2020年前后期货行业的发展券商参与度</w:t>
            </w:r>
          </w:p>
          <w:p>
            <w:pPr>
              <w:rPr>
                <w:rFonts w:hint="eastAsia" w:ascii="宋体" w:hAnsi="宋体" w:eastAsia="宋体"/>
                <w:sz w:val="24"/>
              </w:rPr>
            </w:pPr>
            <w:r>
              <w:rPr>
                <w:rFonts w:hint="eastAsia" w:ascii="宋体" w:hAnsi="宋体" w:eastAsia="宋体"/>
                <w:sz w:val="24"/>
              </w:rPr>
              <w:t>第3章 券商参与行为对期货行业发展的促进作用机制分析</w:t>
            </w:r>
          </w:p>
          <w:p>
            <w:pPr>
              <w:rPr>
                <w:rFonts w:hint="eastAsia" w:ascii="宋体" w:hAnsi="宋体" w:eastAsia="宋体"/>
                <w:sz w:val="24"/>
              </w:rPr>
            </w:pPr>
            <w:r>
              <w:rPr>
                <w:rFonts w:hint="eastAsia" w:ascii="宋体" w:hAnsi="宋体" w:eastAsia="宋体"/>
                <w:sz w:val="24"/>
              </w:rPr>
              <w:t>3.1 期货投资者群体扩大机制</w:t>
            </w:r>
          </w:p>
          <w:p>
            <w:pPr>
              <w:rPr>
                <w:rFonts w:hint="eastAsia" w:ascii="宋体" w:hAnsi="宋体" w:eastAsia="宋体"/>
                <w:sz w:val="24"/>
              </w:rPr>
            </w:pPr>
            <w:r>
              <w:rPr>
                <w:rFonts w:hint="eastAsia" w:ascii="宋体" w:hAnsi="宋体" w:eastAsia="宋体"/>
                <w:sz w:val="24"/>
              </w:rPr>
              <w:t>3.2 期货行业业务范围升级机制</w:t>
            </w:r>
          </w:p>
          <w:p>
            <w:pPr>
              <w:rPr>
                <w:rFonts w:hint="eastAsia" w:ascii="宋体" w:hAnsi="宋体" w:eastAsia="宋体"/>
                <w:sz w:val="24"/>
              </w:rPr>
            </w:pPr>
            <w:r>
              <w:rPr>
                <w:rFonts w:hint="eastAsia" w:ascii="宋体" w:hAnsi="宋体" w:eastAsia="宋体"/>
                <w:sz w:val="24"/>
              </w:rPr>
              <w:t>3.3 期货行业营销成本降低机制</w:t>
            </w:r>
          </w:p>
          <w:p>
            <w:pPr>
              <w:rPr>
                <w:rFonts w:hint="eastAsia" w:ascii="宋体" w:hAnsi="宋体" w:eastAsia="宋体"/>
                <w:sz w:val="24"/>
              </w:rPr>
            </w:pPr>
            <w:r>
              <w:rPr>
                <w:rFonts w:hint="eastAsia" w:ascii="宋体" w:hAnsi="宋体" w:eastAsia="宋体"/>
                <w:sz w:val="24"/>
              </w:rPr>
              <w:t>3.4 期货公司管理水平提升机制</w:t>
            </w:r>
          </w:p>
          <w:p>
            <w:pPr>
              <w:rPr>
                <w:rFonts w:hint="eastAsia" w:ascii="宋体" w:hAnsi="宋体" w:eastAsia="宋体"/>
                <w:sz w:val="24"/>
              </w:rPr>
            </w:pPr>
            <w:r>
              <w:rPr>
                <w:rFonts w:hint="eastAsia" w:ascii="宋体" w:hAnsi="宋体" w:eastAsia="宋体"/>
                <w:sz w:val="24"/>
              </w:rPr>
              <w:t>3.5 期货公司资本实力提升机制</w:t>
            </w:r>
          </w:p>
          <w:p>
            <w:pPr>
              <w:rPr>
                <w:rFonts w:hint="eastAsia" w:ascii="宋体" w:hAnsi="宋体" w:eastAsia="宋体"/>
                <w:sz w:val="24"/>
              </w:rPr>
            </w:pPr>
            <w:r>
              <w:rPr>
                <w:rFonts w:hint="eastAsia" w:ascii="宋体" w:hAnsi="宋体" w:eastAsia="宋体"/>
                <w:sz w:val="24"/>
              </w:rPr>
              <w:t>第4章 券商参与度对期货行业发展的促进作用的研究假设、模型设定及数据说明</w:t>
            </w:r>
          </w:p>
          <w:p>
            <w:pPr>
              <w:rPr>
                <w:rFonts w:hint="eastAsia" w:ascii="宋体" w:hAnsi="宋体" w:eastAsia="宋体"/>
                <w:sz w:val="24"/>
              </w:rPr>
            </w:pPr>
            <w:r>
              <w:rPr>
                <w:rFonts w:hint="eastAsia" w:ascii="宋体" w:hAnsi="宋体" w:eastAsia="宋体"/>
                <w:sz w:val="24"/>
              </w:rPr>
              <w:t>4.1券商参与度对期货行业发展的促进作用的定性分析与研究假设</w:t>
            </w:r>
          </w:p>
          <w:p>
            <w:pPr>
              <w:rPr>
                <w:rFonts w:hint="eastAsia" w:ascii="宋体" w:hAnsi="宋体" w:eastAsia="宋体"/>
                <w:sz w:val="24"/>
              </w:rPr>
            </w:pPr>
            <w:r>
              <w:rPr>
                <w:rFonts w:hint="eastAsia" w:ascii="宋体" w:hAnsi="宋体" w:eastAsia="宋体"/>
                <w:sz w:val="24"/>
              </w:rPr>
              <w:t>4.2券商参与度对期货行业发展的促进作用的变量选取与模型设定</w:t>
            </w:r>
          </w:p>
          <w:p>
            <w:pPr>
              <w:rPr>
                <w:rFonts w:hint="eastAsia" w:ascii="宋体" w:hAnsi="宋体" w:eastAsia="宋体"/>
                <w:sz w:val="24"/>
              </w:rPr>
            </w:pPr>
            <w:r>
              <w:rPr>
                <w:rFonts w:hint="eastAsia" w:ascii="宋体" w:hAnsi="宋体" w:eastAsia="宋体"/>
                <w:sz w:val="24"/>
              </w:rPr>
              <w:t>4.3 数据、变量说明与描述性统计</w:t>
            </w:r>
          </w:p>
          <w:p>
            <w:pPr>
              <w:rPr>
                <w:rFonts w:hint="eastAsia" w:ascii="宋体" w:hAnsi="宋体" w:eastAsia="宋体"/>
                <w:sz w:val="24"/>
              </w:rPr>
            </w:pPr>
            <w:r>
              <w:rPr>
                <w:rFonts w:hint="eastAsia" w:ascii="宋体" w:hAnsi="宋体" w:eastAsia="宋体"/>
                <w:sz w:val="24"/>
              </w:rPr>
              <w:t>第5章 券商参与度对期货行业发展的促进作用的实证分析</w:t>
            </w:r>
          </w:p>
          <w:p>
            <w:pPr>
              <w:rPr>
                <w:rFonts w:hint="eastAsia" w:ascii="宋体" w:hAnsi="宋体" w:eastAsia="宋体"/>
                <w:sz w:val="24"/>
              </w:rPr>
            </w:pPr>
            <w:r>
              <w:rPr>
                <w:rFonts w:hint="eastAsia" w:ascii="宋体" w:hAnsi="宋体" w:eastAsia="宋体"/>
                <w:sz w:val="24"/>
              </w:rPr>
              <w:t>5.1变量的相关性检验</w:t>
            </w:r>
          </w:p>
          <w:p>
            <w:pPr>
              <w:rPr>
                <w:rFonts w:hint="eastAsia" w:ascii="宋体" w:hAnsi="宋体" w:eastAsia="宋体"/>
                <w:sz w:val="24"/>
              </w:rPr>
            </w:pPr>
            <w:r>
              <w:rPr>
                <w:rFonts w:hint="eastAsia" w:ascii="宋体" w:hAnsi="宋体" w:eastAsia="宋体"/>
                <w:sz w:val="24"/>
              </w:rPr>
              <w:t>5.2模型实证结果</w:t>
            </w:r>
          </w:p>
          <w:p>
            <w:pPr>
              <w:rPr>
                <w:rFonts w:hint="eastAsia" w:ascii="宋体" w:hAnsi="宋体" w:eastAsia="宋体"/>
                <w:sz w:val="24"/>
              </w:rPr>
            </w:pPr>
            <w:r>
              <w:rPr>
                <w:rFonts w:hint="eastAsia" w:ascii="宋体" w:hAnsi="宋体" w:eastAsia="宋体"/>
                <w:sz w:val="24"/>
              </w:rPr>
              <w:t>5.2.1混合效应模型回归结果</w:t>
            </w:r>
          </w:p>
          <w:p>
            <w:pPr>
              <w:rPr>
                <w:rFonts w:hint="eastAsia" w:ascii="宋体" w:hAnsi="宋体" w:eastAsia="宋体"/>
                <w:sz w:val="24"/>
              </w:rPr>
            </w:pPr>
            <w:r>
              <w:rPr>
                <w:rFonts w:hint="eastAsia" w:ascii="宋体" w:hAnsi="宋体" w:eastAsia="宋体"/>
                <w:sz w:val="24"/>
              </w:rPr>
              <w:t>5.2.2固定效应模型回归结果</w:t>
            </w:r>
          </w:p>
          <w:p>
            <w:pPr>
              <w:rPr>
                <w:rFonts w:hint="eastAsia" w:ascii="宋体" w:hAnsi="宋体" w:eastAsia="宋体"/>
                <w:sz w:val="24"/>
              </w:rPr>
            </w:pPr>
            <w:r>
              <w:rPr>
                <w:rFonts w:hint="eastAsia" w:ascii="宋体" w:hAnsi="宋体" w:eastAsia="宋体"/>
                <w:sz w:val="24"/>
              </w:rPr>
              <w:t>5.3 期货行业发展DID实证研究</w:t>
            </w:r>
          </w:p>
          <w:p>
            <w:pPr>
              <w:rPr>
                <w:rFonts w:hint="eastAsia" w:ascii="宋体" w:hAnsi="宋体" w:eastAsia="宋体"/>
                <w:sz w:val="24"/>
              </w:rPr>
            </w:pPr>
            <w:r>
              <w:rPr>
                <w:rFonts w:hint="eastAsia" w:ascii="宋体" w:hAnsi="宋体" w:eastAsia="宋体"/>
                <w:sz w:val="24"/>
              </w:rPr>
              <w:t>5.4进一步研究：券商参与度对期货行业发展的促进作用对券商系与非券商系公司的异质性</w:t>
            </w:r>
          </w:p>
          <w:p>
            <w:pPr>
              <w:rPr>
                <w:rFonts w:hint="eastAsia" w:ascii="宋体" w:hAnsi="宋体" w:eastAsia="宋体"/>
                <w:sz w:val="24"/>
              </w:rPr>
            </w:pPr>
            <w:r>
              <w:rPr>
                <w:rFonts w:hint="eastAsia" w:ascii="宋体" w:hAnsi="宋体" w:eastAsia="宋体"/>
                <w:sz w:val="24"/>
              </w:rPr>
              <w:t>5.5实证分析的结论</w:t>
            </w:r>
          </w:p>
          <w:p>
            <w:pPr>
              <w:rPr>
                <w:rFonts w:hint="eastAsia" w:ascii="宋体" w:hAnsi="宋体" w:eastAsia="宋体"/>
                <w:sz w:val="24"/>
              </w:rPr>
            </w:pPr>
            <w:r>
              <w:rPr>
                <w:rFonts w:hint="eastAsia" w:ascii="宋体" w:hAnsi="宋体" w:eastAsia="宋体"/>
                <w:sz w:val="24"/>
              </w:rPr>
              <w:t>第6章 促进券商参与期货行业行为和期货行业发展的政策建议</w:t>
            </w:r>
          </w:p>
          <w:p>
            <w:pPr>
              <w:rPr>
                <w:rFonts w:hint="eastAsia" w:ascii="宋体" w:hAnsi="宋体" w:eastAsia="宋体"/>
                <w:sz w:val="24"/>
              </w:rPr>
            </w:pPr>
            <w:r>
              <w:rPr>
                <w:rFonts w:hint="eastAsia" w:ascii="宋体" w:hAnsi="宋体" w:eastAsia="宋体"/>
                <w:sz w:val="24"/>
              </w:rPr>
              <w:t>6.1加大市场资源的共享</w:t>
            </w:r>
          </w:p>
          <w:p>
            <w:pPr>
              <w:rPr>
                <w:rFonts w:hint="eastAsia" w:ascii="宋体" w:hAnsi="宋体" w:eastAsia="宋体"/>
                <w:sz w:val="24"/>
              </w:rPr>
            </w:pPr>
            <w:r>
              <w:rPr>
                <w:rFonts w:hint="eastAsia" w:ascii="宋体" w:hAnsi="宋体" w:eastAsia="宋体"/>
                <w:sz w:val="24"/>
              </w:rPr>
              <w:t>6.2增加资本金投入</w:t>
            </w:r>
          </w:p>
          <w:p>
            <w:pPr>
              <w:rPr>
                <w:rFonts w:hint="eastAsia" w:ascii="宋体" w:hAnsi="宋体" w:eastAsia="宋体"/>
                <w:sz w:val="24"/>
              </w:rPr>
            </w:pPr>
            <w:r>
              <w:rPr>
                <w:rFonts w:hint="eastAsia" w:ascii="宋体" w:hAnsi="宋体" w:eastAsia="宋体"/>
                <w:sz w:val="24"/>
              </w:rPr>
              <w:t>6.3促进资产管理、财富管理业务合作</w:t>
            </w:r>
          </w:p>
          <w:p>
            <w:pPr>
              <w:rPr>
                <w:rFonts w:hint="eastAsia" w:ascii="宋体" w:hAnsi="宋体" w:eastAsia="宋体"/>
                <w:sz w:val="24"/>
              </w:rPr>
            </w:pPr>
            <w:r>
              <w:rPr>
                <w:rFonts w:hint="eastAsia" w:ascii="宋体" w:hAnsi="宋体" w:eastAsia="宋体"/>
                <w:sz w:val="24"/>
              </w:rPr>
              <w:t>6.4促进</w:t>
            </w:r>
            <w:r>
              <w:rPr>
                <w:rFonts w:hint="eastAsia" w:ascii="宋体" w:hAnsi="宋体" w:eastAsia="宋体"/>
                <w:sz w:val="24"/>
                <w:lang w:val="en-US" w:eastAsia="zh-CN"/>
              </w:rPr>
              <w:t>期货公司</w:t>
            </w:r>
            <w:bookmarkStart w:id="0" w:name="_GoBack"/>
            <w:bookmarkEnd w:id="0"/>
            <w:r>
              <w:rPr>
                <w:rFonts w:hint="eastAsia" w:ascii="宋体" w:hAnsi="宋体" w:eastAsia="宋体"/>
                <w:sz w:val="24"/>
              </w:rPr>
              <w:t>综合金融业务</w:t>
            </w:r>
          </w:p>
          <w:p>
            <w:pPr>
              <w:rPr>
                <w:rFonts w:hint="eastAsia" w:ascii="宋体" w:hAnsi="宋体" w:eastAsia="宋体"/>
                <w:sz w:val="24"/>
              </w:rPr>
            </w:pPr>
            <w:r>
              <w:rPr>
                <w:rFonts w:hint="eastAsia" w:ascii="宋体" w:hAnsi="宋体" w:eastAsia="宋体"/>
                <w:sz w:val="24"/>
              </w:rPr>
              <w:t>第7章 结论</w:t>
            </w:r>
          </w:p>
          <w:p>
            <w:pPr>
              <w:rPr>
                <w:rFonts w:hint="eastAsia" w:ascii="宋体" w:hAnsi="宋体" w:eastAsia="宋体"/>
                <w:sz w:val="24"/>
              </w:rPr>
            </w:pPr>
            <w:r>
              <w:rPr>
                <w:rFonts w:hint="eastAsia" w:ascii="宋体" w:hAnsi="宋体" w:eastAsia="宋体"/>
                <w:sz w:val="24"/>
              </w:rPr>
              <w:t>7.1基本结论</w:t>
            </w:r>
          </w:p>
          <w:p>
            <w:pPr>
              <w:rPr>
                <w:rFonts w:hint="eastAsia" w:ascii="宋体" w:hAnsi="宋体" w:eastAsia="宋体"/>
                <w:sz w:val="24"/>
              </w:rPr>
            </w:pPr>
            <w:r>
              <w:rPr>
                <w:rFonts w:hint="eastAsia" w:ascii="宋体" w:hAnsi="宋体" w:eastAsia="宋体"/>
                <w:sz w:val="24"/>
              </w:rPr>
              <w:t>7.2 未来展望</w:t>
            </w:r>
          </w:p>
          <w:p>
            <w:pPr>
              <w:rPr>
                <w:rFonts w:hint="eastAsia" w:ascii="宋体" w:hAnsi="宋体" w:eastAsia="宋体"/>
                <w:sz w:val="24"/>
              </w:rPr>
            </w:pPr>
            <w:r>
              <w:rPr>
                <w:rFonts w:hint="eastAsia" w:ascii="宋体" w:hAnsi="宋体" w:eastAsia="宋体"/>
                <w:sz w:val="24"/>
              </w:rPr>
              <w:t>参考文献</w:t>
            </w:r>
          </w:p>
          <w:p>
            <w:pPr>
              <w:rPr>
                <w:rFonts w:ascii="宋体" w:hAnsi="宋体" w:eastAsia="宋体"/>
                <w:sz w:val="24"/>
              </w:rPr>
            </w:pPr>
            <w:r>
              <w:rPr>
                <w:rFonts w:hint="eastAsia" w:ascii="宋体" w:hAnsi="宋体" w:eastAsia="宋体"/>
                <w:sz w:val="24"/>
              </w:rPr>
              <w:t>致 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jc w:val="left"/>
              <w:rPr>
                <w:rFonts w:hint="default" w:ascii="宋体" w:hAnsi="宋体" w:eastAsia="宋体"/>
                <w:sz w:val="24"/>
                <w:lang w:val="en-US" w:eastAsia="zh-CN"/>
              </w:rPr>
            </w:pPr>
            <w:r>
              <w:rPr>
                <w:rFonts w:hint="eastAsia" w:ascii="宋体" w:hAnsi="宋体" w:eastAsia="宋体"/>
                <w:sz w:val="24"/>
                <w:lang w:val="en-US" w:eastAsia="zh-CN"/>
              </w:rPr>
              <w:t>中国证券业协会、中国期货业协会、万得数据、上市公司报表、国家统计局、教材、本人从业过程中获取的一手数据、论文文献参考等</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220C1868"/>
    <w:rsid w:val="2440168C"/>
    <w:rsid w:val="256D7106"/>
    <w:rsid w:val="25841894"/>
    <w:rsid w:val="3746416B"/>
    <w:rsid w:val="4B69774A"/>
    <w:rsid w:val="531F6FDA"/>
    <w:rsid w:val="73A66A40"/>
    <w:rsid w:val="75BD54C7"/>
    <w:rsid w:val="798252C5"/>
    <w:rsid w:val="7D4F3BF5"/>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TotalTime>
  <ScaleCrop>false</ScaleCrop>
  <LinksUpToDate>false</LinksUpToDate>
  <CharactersWithSpaces>471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asus</cp:lastModifiedBy>
  <dcterms:modified xsi:type="dcterms:W3CDTF">2021-06-09T15:19:48Z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A4F69AAADB904522AE2EA1ABBE55D3B3</vt:lpwstr>
  </property>
</Properties>
</file>