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2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8"/>
        <w:gridCol w:w="1026"/>
        <w:gridCol w:w="1086"/>
        <w:gridCol w:w="700"/>
        <w:gridCol w:w="718"/>
        <w:gridCol w:w="743"/>
        <w:gridCol w:w="391"/>
        <w:gridCol w:w="992"/>
        <w:gridCol w:w="1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81040950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张宇辰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74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企业经济学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74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15001223045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603487640@qq.comq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74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嘉兴学院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财务管理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74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北京天正华会计师事务所（普通合伙）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8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6982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本人2011年毕业于浙江嘉兴学院财务管理专业，毕业后在证券公司从事两年客户经理职位，后一直在会计师事务所从事审计工作，从审计助理做到审计项目经理。对国央企及民非企业较为熟悉，主要集中在商业企业、金融企业及地产企业。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工作经历如下：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2020.12-至今 北京天正华会计师事务所（普通合伙）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2019.6-2020.11 天职国际会计师事务所（特殊普通合伙）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2013.11-2019.5 北京兴中海会计师事务所有限公司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2011.6-2013.10 招商证券股份有限公司北京分公司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填：是，否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填：是，否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26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6982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6982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6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6982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</w:tbl>
    <w:p/>
    <w:tbl>
      <w:tblPr>
        <w:tblStyle w:val="2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7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非效率投资行为的影响因素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随着我国资本市场的日臻发展与完善，以及与国际金融市场的不断接轨，我国上市公司的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非效率</w:t>
            </w:r>
            <w:r>
              <w:rPr>
                <w:rFonts w:hint="eastAsia" w:ascii="宋体" w:hAnsi="宋体" w:eastAsia="宋体"/>
                <w:sz w:val="24"/>
              </w:rPr>
              <w:t>投资现象也逐渐显现出来。利用度量模型对企业的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非效率</w:t>
            </w:r>
            <w:r>
              <w:rPr>
                <w:rFonts w:hint="eastAsia" w:ascii="宋体" w:hAnsi="宋体" w:eastAsia="宋体"/>
                <w:sz w:val="24"/>
              </w:rPr>
              <w:t>投资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行为</w:t>
            </w:r>
            <w:r>
              <w:rPr>
                <w:rFonts w:hint="eastAsia" w:ascii="宋体" w:hAnsi="宋体" w:eastAsia="宋体"/>
                <w:sz w:val="24"/>
              </w:rPr>
              <w:t>进行度量不仅可以使企业对的投资现状有一个合理的认识，还可以为企业未来的投资决策提供参考。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关于引发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非效率</w:t>
            </w:r>
            <w:r>
              <w:rPr>
                <w:rFonts w:hint="eastAsia" w:ascii="宋体" w:hAnsi="宋体" w:eastAsia="宋体"/>
                <w:sz w:val="24"/>
              </w:rPr>
              <w:t>投资的原因，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理论界有</w:t>
            </w:r>
            <w:r>
              <w:rPr>
                <w:rFonts w:hint="eastAsia" w:ascii="宋体" w:hAnsi="宋体" w:eastAsia="宋体"/>
                <w:sz w:val="24"/>
              </w:rPr>
              <w:t>不同的解释。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本文通过建立模型，引入不同变量，来分析导致非效率投资的主要因素。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上市公司非效率投资行为影响因素研究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6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第一章  绪论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1.1研究背景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1.2研究意义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1.3研究思路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1.4本文的不足及创新之处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第二章  文献综述与理论基础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2.1关于非效率投资的研究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2.2自由现金流量对非效率投资行为的影响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2.3代理成本对非效率投资行为的影响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2.4导致非效率投资的其他理论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第三章  模型构建与样本选取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3.1非效率投资度量模型设定与估计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3.2关键变量的定义与度量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3.3样本选取与数据来源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第四章  实证分析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4.1非效率投资行为的检验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4.2自由现金流量导致非效率投资行为的检验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4.3代理成本导致非效率投资行为的检验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4.4稳健性检验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4.5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 w:val="24"/>
                <w:lang w:val="en-US" w:eastAsia="zh-CN"/>
              </w:rPr>
              <w:t>模型结果分析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第五章  研究结论与建议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5.1研究结论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5.2政策建议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3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[1] Jensen,M.C. and W.Meckling,1976.“Theory of the Firm:Managetial Behavior, Agency Costs,and Capital Stucture” .Journal of Financial Economics,3, pp.305-360.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[2] Jensen,M.C.,1986.“Agency Cost of Free Cash Flow Corporate Finance and Takeovers” .American Economic Review,76,pp.323-339.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] 何金耿，丁加华.上市公司投资决策行为的实证分析.证券市场导报，2001(9):P44-47.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] 黄本多，干胜道.股权制衡、自由现金流量与过度投资研究.商业研究，2009(9):P132-134.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] 刘朝晖.外部套利、市场反映与控股公东的非效率投资决策.世界经济，2002(7):P71-79.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] 李维安，姜涛.公司治理与企业过度投资行为研究——来自中国上市公司的证据.财贸经济，2007(12):P56-61.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数据来源：主要选取上市公司作为研究对象，从上交所、深交所网站获取上市公司财务报表作为基础数据来源。</w:t>
            </w:r>
          </w:p>
        </w:tc>
      </w:tr>
    </w:tbl>
    <w:p>
      <w:pPr>
        <w:ind w:firstLine="422" w:firstLineChars="200"/>
        <w:rPr>
          <w:rFonts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</w:rPr>
        <w:t>注：1、请认真填写各项信息，</w:t>
      </w:r>
      <w:r>
        <w:rPr>
          <w:rFonts w:ascii="宋体" w:hAnsi="宋体" w:eastAsia="宋体"/>
          <w:b/>
          <w:bCs/>
          <w:color w:val="FF0000"/>
        </w:rPr>
        <w:t>根据学员</w:t>
      </w:r>
      <w:r>
        <w:rPr>
          <w:rFonts w:hint="eastAsia" w:ascii="宋体" w:hAnsi="宋体" w:eastAsia="宋体"/>
          <w:b/>
          <w:bCs/>
          <w:color w:val="FF0000"/>
        </w:rPr>
        <w:t>相关情况和拟定</w:t>
      </w:r>
      <w:r>
        <w:rPr>
          <w:rFonts w:ascii="宋体" w:hAnsi="宋体" w:eastAsia="宋体"/>
          <w:b/>
          <w:bCs/>
          <w:color w:val="FF0000"/>
        </w:rPr>
        <w:t>论文方向，由院系统一分配指导老师。</w:t>
      </w:r>
    </w:p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>
      <w:pgSz w:w="11906" w:h="16838"/>
      <w:pgMar w:top="1418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C213C"/>
    <w:rsid w:val="00556D05"/>
    <w:rsid w:val="00761113"/>
    <w:rsid w:val="00807310"/>
    <w:rsid w:val="009D0666"/>
    <w:rsid w:val="00A32456"/>
    <w:rsid w:val="00AB5DD7"/>
    <w:rsid w:val="00E5705C"/>
    <w:rsid w:val="09BA2274"/>
    <w:rsid w:val="0EC70461"/>
    <w:rsid w:val="23A8247C"/>
    <w:rsid w:val="2C474A86"/>
    <w:rsid w:val="355944FF"/>
    <w:rsid w:val="3AF27FDF"/>
    <w:rsid w:val="43FE3026"/>
    <w:rsid w:val="4F2B2848"/>
    <w:rsid w:val="6CE839B8"/>
    <w:rsid w:val="7414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70</Words>
  <Characters>402</Characters>
  <Lines>3</Lines>
  <Paragraphs>1</Paragraphs>
  <TotalTime>2</TotalTime>
  <ScaleCrop>false</ScaleCrop>
  <LinksUpToDate>false</LinksUpToDate>
  <CharactersWithSpaces>471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2021-01-20T08:38:00Z</dcterms:created>
  <dc:creator>Qi Hang</dc:creator>
  <cp:lastModifiedBy>焦糖玛奇朵</cp:lastModifiedBy>
  <dcterms:modified xsi:type="dcterms:W3CDTF">2021-06-09T10:46:51Z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CE9FA0C4A7E14D4EB0BA34FFC77FCF65</vt:lpwstr>
  </property>
</Properties>
</file>