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bookmarkStart w:id="0" w:name="_GoBack"/>
      <w:bookmarkEnd w:id="0"/>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81040976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ascii="宋体" w:hAnsi="宋体" w:eastAsia="宋体"/>
                <w:sz w:val="24"/>
              </w:rPr>
              <w:t>朱文璋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ascii="宋体" w:hAnsi="宋体" w:eastAsia="宋体"/>
                <w:sz w:val="24"/>
              </w:rPr>
              <w:t>15652356620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276956434@qq.com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ascii="宋体" w:hAnsi="宋体" w:eastAsia="宋体"/>
                <w:sz w:val="24"/>
              </w:rPr>
              <w:t>北京工业大学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ascii="宋体" w:hAnsi="宋体" w:eastAsia="宋体"/>
                <w:sz w:val="24"/>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ascii="宋体" w:hAnsi="宋体" w:eastAsia="宋体"/>
                <w:sz w:val="24"/>
              </w:rPr>
              <w:t>中国华录·易数链产业发展（山东）有限公司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ascii="宋体" w:hAnsi="宋体" w:eastAsia="宋体"/>
                <w:sz w:val="24"/>
              </w:rPr>
              <w:t>商务总监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本人朱文璋，1993出生，籍贯青海省化隆县，2010-2014年就读于北京工业大学。</w:t>
            </w:r>
          </w:p>
          <w:p>
            <w:pPr>
              <w:rPr>
                <w:rFonts w:ascii="宋体" w:hAnsi="宋体" w:eastAsia="宋体"/>
                <w:sz w:val="24"/>
              </w:rPr>
            </w:pPr>
            <w:r>
              <w:rPr>
                <w:rFonts w:ascii="宋体" w:hAnsi="宋体" w:eastAsia="宋体"/>
                <w:sz w:val="24"/>
              </w:rPr>
              <w:t>2014年7月-2017年5月就职于硬蛋科技（北京）有限公司，任商务经理岗位；2017年6月-2019年8月，就职于海航集团海航科技股份有限公司，任职高级商务经理。2018年8月-至今，就职于中国华录集团易数链产业发展（山东）有限公司，任职商务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ascii="宋体" w:hAnsi="宋体" w:eastAsia="宋体"/>
                <w:sz w:val="24"/>
              </w:rPr>
            </w:pPr>
            <w:r>
              <w:rPr>
                <w:rFonts w:hint="eastAsia" w:ascii="宋体" w:hAnsi="宋体" w:eastAsia="宋体"/>
                <w:sz w:val="24"/>
              </w:rPr>
              <w:t>国有企业是我国国民经济发展的中流砥柱，承担着关乎国计民生重要责任。由于国企高管身份的特殊性，其薪酬一直备受关注。基于委托代理理论，我国学界关于高管薪酬的研究大多在最优契约理论的分析范式下展开。然而近年来，高管薪酬呈日益增长态势，往往背离了传统的理论模型。可见，最优契约理论指导下的薪酬未必是普遍的、持久和系统的。契约参照点理论指出，在早期对高管薪酬的研究中，忽略了高管薪酬契约设计中参照基准的作用及其对于高管主观心理感知和行为的影响。</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基于以上背景，本</w:t>
            </w:r>
            <w:r>
              <w:rPr>
                <w:rFonts w:ascii="宋体" w:hAnsi="宋体" w:eastAsia="宋体"/>
                <w:sz w:val="24"/>
              </w:rPr>
              <w:t>文</w:t>
            </w:r>
            <w:r>
              <w:rPr>
                <w:rFonts w:hint="eastAsia" w:ascii="宋体" w:hAnsi="宋体" w:eastAsia="宋体"/>
                <w:sz w:val="24"/>
              </w:rPr>
              <w:t>计划基于薪酬契约的参照点理论</w:t>
            </w:r>
            <w:r>
              <w:rPr>
                <w:rFonts w:ascii="宋体" w:hAnsi="宋体" w:eastAsia="宋体"/>
                <w:sz w:val="24"/>
              </w:rPr>
              <w:t>，</w:t>
            </w:r>
            <w:r>
              <w:rPr>
                <w:rFonts w:hint="eastAsia" w:ascii="宋体" w:hAnsi="宋体" w:eastAsia="宋体"/>
                <w:sz w:val="24"/>
              </w:rPr>
              <w:t>以CSMAR和RESSET数据库中国有</w:t>
            </w:r>
            <w:r>
              <w:rPr>
                <w:rFonts w:ascii="宋体" w:hAnsi="宋体" w:eastAsia="宋体"/>
                <w:sz w:val="24"/>
              </w:rPr>
              <w:t>上市</w:t>
            </w:r>
            <w:r>
              <w:rPr>
                <w:rFonts w:hint="eastAsia" w:ascii="宋体" w:hAnsi="宋体" w:eastAsia="宋体"/>
                <w:sz w:val="24"/>
              </w:rPr>
              <w:t>企业的面板数据为实证，对我国高管薪酬契约参照点展开全面和系统的研究，构建薪酬契约参照点理论模型，挖掘内在逻辑，探究其对高管行为的影响，以期为国有</w:t>
            </w:r>
            <w:r>
              <w:rPr>
                <w:rFonts w:ascii="宋体" w:hAnsi="宋体" w:eastAsia="宋体"/>
                <w:sz w:val="24"/>
              </w:rPr>
              <w:t>上市</w:t>
            </w:r>
            <w:r>
              <w:rPr>
                <w:rFonts w:hint="eastAsia" w:ascii="宋体" w:hAnsi="宋体" w:eastAsia="宋体"/>
                <w:sz w:val="24"/>
              </w:rPr>
              <w:t>企业高管的薪酬制度改革提供有效参考意见。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薪酬参照点契约理论视角下的国有企业高管行为模式研究</w:t>
            </w:r>
          </w:p>
          <w:p>
            <w:pPr>
              <w:rPr>
                <w:rFonts w:ascii="宋体" w:hAnsi="宋体" w:eastAsia="宋体"/>
                <w:sz w:val="24"/>
              </w:rPr>
            </w:pPr>
            <w:r>
              <w:rPr>
                <w:rFonts w:hint="eastAsia" w:ascii="宋体" w:hAnsi="宋体" w:eastAsia="宋体"/>
                <w:sz w:val="24"/>
              </w:rPr>
              <w:t>——基于</w:t>
            </w:r>
            <w:r>
              <w:rPr>
                <w:rFonts w:ascii="宋体" w:hAnsi="宋体" w:eastAsia="宋体"/>
                <w:sz w:val="24"/>
              </w:rPr>
              <w:t>国有上市企业</w:t>
            </w:r>
            <w:r>
              <w:rPr>
                <w:rFonts w:hint="eastAsia" w:ascii="宋体" w:hAnsi="宋体" w:eastAsia="宋体"/>
                <w:sz w:val="24"/>
              </w:rPr>
              <w:t>面板数据的实证分析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ascii="宋体" w:hAnsi="宋体" w:eastAsia="宋体"/>
                <w:sz w:val="24"/>
              </w:rPr>
            </w:pPr>
            <w:r>
              <w:rPr>
                <w:rFonts w:hint="eastAsia" w:ascii="宋体" w:hAnsi="宋体" w:eastAsia="宋体"/>
                <w:sz w:val="24"/>
              </w:rPr>
              <w:t>摘要</w:t>
            </w:r>
          </w:p>
          <w:p>
            <w:pPr>
              <w:rPr>
                <w:rFonts w:ascii="宋体" w:hAnsi="宋体" w:eastAsia="宋体"/>
                <w:sz w:val="24"/>
              </w:rPr>
            </w:pPr>
            <w:r>
              <w:rPr>
                <w:rFonts w:hint="eastAsia" w:ascii="宋体" w:hAnsi="宋体" w:eastAsia="宋体"/>
                <w:sz w:val="24"/>
              </w:rPr>
              <w:t>第一章绪论</w:t>
            </w:r>
          </w:p>
          <w:p>
            <w:pPr>
              <w:rPr>
                <w:rFonts w:ascii="宋体" w:hAnsi="宋体" w:eastAsia="宋体"/>
                <w:sz w:val="24"/>
              </w:rPr>
            </w:pPr>
            <w:r>
              <w:rPr>
                <w:rFonts w:hint="eastAsia" w:ascii="宋体" w:hAnsi="宋体" w:eastAsia="宋体"/>
                <w:sz w:val="24"/>
              </w:rPr>
              <w:t>1.1研究背景与意义</w:t>
            </w:r>
          </w:p>
          <w:p>
            <w:pPr>
              <w:ind w:firstLine="120" w:firstLineChars="50"/>
              <w:rPr>
                <w:rFonts w:ascii="宋体" w:hAnsi="宋体" w:eastAsia="宋体"/>
                <w:sz w:val="24"/>
              </w:rPr>
            </w:pPr>
            <w:r>
              <w:rPr>
                <w:rFonts w:hint="eastAsia" w:ascii="宋体" w:hAnsi="宋体" w:eastAsia="宋体"/>
                <w:sz w:val="24"/>
              </w:rPr>
              <w:t>1.1.1研究背景</w:t>
            </w:r>
          </w:p>
          <w:p>
            <w:pPr>
              <w:ind w:firstLine="120" w:firstLineChars="50"/>
              <w:rPr>
                <w:rFonts w:ascii="宋体" w:hAnsi="宋体" w:eastAsia="宋体"/>
                <w:sz w:val="24"/>
              </w:rPr>
            </w:pPr>
            <w:r>
              <w:rPr>
                <w:rFonts w:hint="eastAsia" w:ascii="宋体" w:hAnsi="宋体" w:eastAsia="宋体"/>
                <w:sz w:val="24"/>
              </w:rPr>
              <w:t xml:space="preserve">1.1.2研究意义 </w:t>
            </w:r>
          </w:p>
          <w:p>
            <w:pPr>
              <w:rPr>
                <w:rFonts w:ascii="宋体" w:hAnsi="宋体" w:eastAsia="宋体"/>
                <w:sz w:val="24"/>
              </w:rPr>
            </w:pPr>
            <w:r>
              <w:rPr>
                <w:rFonts w:hint="eastAsia" w:ascii="宋体" w:hAnsi="宋体" w:eastAsia="宋体"/>
                <w:sz w:val="24"/>
              </w:rPr>
              <w:t>1.2概念界定</w:t>
            </w:r>
          </w:p>
          <w:p>
            <w:pPr>
              <w:ind w:firstLine="120" w:firstLineChars="50"/>
              <w:rPr>
                <w:rFonts w:ascii="宋体" w:hAnsi="宋体" w:eastAsia="宋体"/>
                <w:sz w:val="24"/>
              </w:rPr>
            </w:pPr>
            <w:r>
              <w:rPr>
                <w:rFonts w:hint="eastAsia" w:ascii="宋体" w:hAnsi="宋体" w:eastAsia="宋体"/>
                <w:sz w:val="24"/>
              </w:rPr>
              <w:t>1.2.1高管薪酬</w:t>
            </w:r>
          </w:p>
          <w:p>
            <w:pPr>
              <w:ind w:firstLine="120" w:firstLineChars="50"/>
              <w:rPr>
                <w:rFonts w:ascii="宋体" w:hAnsi="宋体" w:eastAsia="宋体"/>
                <w:sz w:val="24"/>
              </w:rPr>
            </w:pPr>
            <w:r>
              <w:rPr>
                <w:rFonts w:hint="eastAsia" w:ascii="宋体" w:hAnsi="宋体" w:eastAsia="宋体"/>
                <w:sz w:val="24"/>
              </w:rPr>
              <w:t>1.2.2薪酬参照点契约理论</w:t>
            </w:r>
          </w:p>
          <w:p>
            <w:pPr>
              <w:ind w:firstLine="120" w:firstLineChars="50"/>
              <w:rPr>
                <w:rFonts w:ascii="宋体" w:hAnsi="宋体" w:eastAsia="宋体"/>
                <w:sz w:val="24"/>
              </w:rPr>
            </w:pPr>
            <w:r>
              <w:rPr>
                <w:rFonts w:hint="eastAsia" w:ascii="宋体" w:hAnsi="宋体" w:eastAsia="宋体"/>
                <w:sz w:val="24"/>
              </w:rPr>
              <w:t>1.2.3高管行为模式</w:t>
            </w:r>
          </w:p>
          <w:p>
            <w:pPr>
              <w:rPr>
                <w:rFonts w:ascii="宋体" w:hAnsi="宋体" w:eastAsia="宋体"/>
                <w:sz w:val="24"/>
              </w:rPr>
            </w:pPr>
            <w:r>
              <w:rPr>
                <w:rFonts w:hint="eastAsia" w:ascii="宋体" w:hAnsi="宋体" w:eastAsia="宋体"/>
                <w:sz w:val="24"/>
              </w:rPr>
              <w:t>1.3研究思路与方法</w:t>
            </w:r>
          </w:p>
          <w:p>
            <w:pPr>
              <w:ind w:firstLine="120" w:firstLineChars="50"/>
              <w:rPr>
                <w:rFonts w:ascii="宋体" w:hAnsi="宋体" w:eastAsia="宋体"/>
                <w:sz w:val="24"/>
              </w:rPr>
            </w:pPr>
            <w:r>
              <w:rPr>
                <w:rFonts w:hint="eastAsia" w:ascii="宋体" w:hAnsi="宋体" w:eastAsia="宋体"/>
                <w:sz w:val="24"/>
              </w:rPr>
              <w:t>1.3.1研究思路</w:t>
            </w:r>
          </w:p>
          <w:p>
            <w:pPr>
              <w:ind w:firstLine="120" w:firstLineChars="50"/>
              <w:rPr>
                <w:rFonts w:ascii="宋体" w:hAnsi="宋体" w:eastAsia="宋体"/>
                <w:sz w:val="24"/>
              </w:rPr>
            </w:pPr>
            <w:r>
              <w:rPr>
                <w:rFonts w:hint="eastAsia" w:ascii="宋体" w:hAnsi="宋体" w:eastAsia="宋体"/>
                <w:sz w:val="24"/>
              </w:rPr>
              <w:t>1.3.2研究方法</w:t>
            </w:r>
          </w:p>
          <w:p>
            <w:pPr>
              <w:ind w:firstLine="120" w:firstLineChars="50"/>
              <w:rPr>
                <w:rFonts w:ascii="宋体" w:hAnsi="宋体" w:eastAsia="宋体"/>
                <w:sz w:val="24"/>
              </w:rPr>
            </w:pPr>
            <w:r>
              <w:rPr>
                <w:rFonts w:hint="eastAsia" w:ascii="宋体" w:hAnsi="宋体" w:eastAsia="宋体"/>
                <w:sz w:val="24"/>
              </w:rPr>
              <w:t>1.3.3本文的创新点与不足</w:t>
            </w:r>
          </w:p>
          <w:p>
            <w:pPr>
              <w:rPr>
                <w:rFonts w:ascii="宋体" w:hAnsi="宋体" w:eastAsia="宋体"/>
                <w:sz w:val="24"/>
              </w:rPr>
            </w:pPr>
            <w:r>
              <w:rPr>
                <w:rFonts w:hint="eastAsia" w:ascii="宋体" w:hAnsi="宋体" w:eastAsia="宋体"/>
                <w:sz w:val="24"/>
              </w:rPr>
              <w:t>第二章 研究综述</w:t>
            </w:r>
          </w:p>
          <w:p>
            <w:pPr>
              <w:rPr>
                <w:rFonts w:ascii="宋体" w:hAnsi="宋体" w:eastAsia="宋体"/>
                <w:sz w:val="24"/>
              </w:rPr>
            </w:pPr>
            <w:r>
              <w:rPr>
                <w:rFonts w:hint="eastAsia" w:ascii="宋体" w:hAnsi="宋体" w:eastAsia="宋体"/>
                <w:sz w:val="24"/>
              </w:rPr>
              <w:t>2.1 高管薪酬契约研究回顾</w:t>
            </w:r>
          </w:p>
          <w:p>
            <w:pPr>
              <w:ind w:firstLine="120" w:firstLineChars="50"/>
              <w:rPr>
                <w:rFonts w:ascii="宋体" w:hAnsi="宋体" w:eastAsia="宋体"/>
                <w:sz w:val="24"/>
              </w:rPr>
            </w:pPr>
            <w:r>
              <w:rPr>
                <w:rFonts w:hint="eastAsia" w:ascii="宋体" w:hAnsi="宋体" w:eastAsia="宋体"/>
                <w:sz w:val="24"/>
              </w:rPr>
              <w:t>2.1.1薪酬契约对高管激励效应研究</w:t>
            </w:r>
          </w:p>
          <w:p>
            <w:pPr>
              <w:ind w:firstLine="120" w:firstLineChars="50"/>
              <w:rPr>
                <w:rFonts w:ascii="宋体" w:hAnsi="宋体" w:eastAsia="宋体"/>
                <w:sz w:val="24"/>
              </w:rPr>
            </w:pPr>
            <w:r>
              <w:rPr>
                <w:rFonts w:hint="eastAsia" w:ascii="宋体" w:hAnsi="宋体" w:eastAsia="宋体"/>
                <w:sz w:val="24"/>
              </w:rPr>
              <w:t>2.1.2高管薪酬的最优契约理论</w:t>
            </w:r>
          </w:p>
          <w:p>
            <w:pPr>
              <w:ind w:firstLine="120" w:firstLineChars="50"/>
              <w:rPr>
                <w:rFonts w:ascii="宋体" w:hAnsi="宋体" w:eastAsia="宋体"/>
                <w:sz w:val="24"/>
              </w:rPr>
            </w:pPr>
            <w:r>
              <w:rPr>
                <w:rFonts w:hint="eastAsia" w:ascii="宋体" w:hAnsi="宋体" w:eastAsia="宋体"/>
                <w:sz w:val="24"/>
              </w:rPr>
              <w:t>2.1.3高管外部薪酬差距对高管行为的影响</w:t>
            </w:r>
          </w:p>
          <w:p>
            <w:pPr>
              <w:rPr>
                <w:rFonts w:ascii="宋体" w:hAnsi="宋体" w:eastAsia="宋体"/>
                <w:sz w:val="24"/>
              </w:rPr>
            </w:pPr>
            <w:r>
              <w:rPr>
                <w:rFonts w:hint="eastAsia" w:ascii="宋体" w:hAnsi="宋体" w:eastAsia="宋体"/>
                <w:sz w:val="24"/>
              </w:rPr>
              <w:t>2.2 参照点效应研究回顾</w:t>
            </w:r>
          </w:p>
          <w:p>
            <w:pPr>
              <w:ind w:firstLine="120" w:firstLineChars="50"/>
              <w:rPr>
                <w:rFonts w:ascii="宋体" w:hAnsi="宋体" w:eastAsia="宋体"/>
                <w:sz w:val="24"/>
              </w:rPr>
            </w:pPr>
            <w:r>
              <w:rPr>
                <w:rFonts w:hint="eastAsia" w:ascii="宋体" w:hAnsi="宋体" w:eastAsia="宋体"/>
                <w:sz w:val="24"/>
              </w:rPr>
              <w:t>2.2.</w:t>
            </w:r>
            <w:r>
              <w:rPr>
                <w:rFonts w:ascii="宋体" w:hAnsi="宋体" w:eastAsia="宋体"/>
                <w:sz w:val="24"/>
              </w:rPr>
              <w:t>1</w:t>
            </w:r>
            <w:r>
              <w:rPr>
                <w:rFonts w:hint="eastAsia" w:ascii="宋体" w:hAnsi="宋体" w:eastAsia="宋体"/>
                <w:sz w:val="24"/>
              </w:rPr>
              <w:t>参照点效应的产生与发展研究</w:t>
            </w:r>
          </w:p>
          <w:p>
            <w:pPr>
              <w:ind w:firstLine="120" w:firstLineChars="50"/>
              <w:rPr>
                <w:rFonts w:ascii="宋体" w:hAnsi="宋体" w:eastAsia="宋体"/>
                <w:sz w:val="24"/>
              </w:rPr>
            </w:pPr>
            <w:r>
              <w:rPr>
                <w:rFonts w:hint="eastAsia" w:ascii="宋体" w:hAnsi="宋体" w:eastAsia="宋体"/>
                <w:sz w:val="24"/>
              </w:rPr>
              <w:t>2.2.2参照点效应中的契约参照点理论</w:t>
            </w:r>
          </w:p>
          <w:p>
            <w:pPr>
              <w:ind w:firstLine="120" w:firstLineChars="50"/>
              <w:rPr>
                <w:rFonts w:ascii="宋体" w:hAnsi="宋体" w:eastAsia="宋体"/>
                <w:sz w:val="24"/>
              </w:rPr>
            </w:pPr>
            <w:r>
              <w:rPr>
                <w:rFonts w:hint="eastAsia" w:ascii="宋体" w:hAnsi="宋体" w:eastAsia="宋体"/>
                <w:sz w:val="24"/>
              </w:rPr>
              <w:t>2.2.3薪酬参照点效应对高管行为的影响研究</w:t>
            </w:r>
          </w:p>
          <w:p>
            <w:pPr>
              <w:rPr>
                <w:rFonts w:ascii="宋体" w:hAnsi="宋体" w:eastAsia="宋体"/>
                <w:sz w:val="24"/>
              </w:rPr>
            </w:pPr>
            <w:r>
              <w:rPr>
                <w:rFonts w:hint="eastAsia" w:ascii="宋体" w:hAnsi="宋体" w:eastAsia="宋体"/>
                <w:sz w:val="24"/>
              </w:rPr>
              <w:t>2.3 文献评述</w:t>
            </w:r>
          </w:p>
          <w:p>
            <w:pPr>
              <w:rPr>
                <w:rFonts w:ascii="宋体" w:hAnsi="宋体" w:eastAsia="宋体"/>
                <w:sz w:val="24"/>
              </w:rPr>
            </w:pPr>
            <w:r>
              <w:rPr>
                <w:rFonts w:hint="eastAsia" w:ascii="宋体" w:hAnsi="宋体" w:eastAsia="宋体"/>
                <w:sz w:val="24"/>
              </w:rPr>
              <w:t>第三章 理论基础及假设提出</w:t>
            </w:r>
          </w:p>
          <w:p>
            <w:pPr>
              <w:rPr>
                <w:rFonts w:ascii="宋体" w:hAnsi="宋体" w:eastAsia="宋体"/>
                <w:sz w:val="24"/>
              </w:rPr>
            </w:pPr>
            <w:r>
              <w:rPr>
                <w:rFonts w:hint="eastAsia" w:ascii="宋体" w:hAnsi="宋体" w:eastAsia="宋体"/>
                <w:sz w:val="24"/>
              </w:rPr>
              <w:t>3.1 理论基础</w:t>
            </w:r>
          </w:p>
          <w:p>
            <w:pPr>
              <w:ind w:firstLine="120" w:firstLineChars="50"/>
              <w:rPr>
                <w:rFonts w:ascii="宋体" w:hAnsi="宋体" w:eastAsia="宋体"/>
                <w:sz w:val="24"/>
              </w:rPr>
            </w:pPr>
            <w:r>
              <w:rPr>
                <w:rFonts w:hint="eastAsia" w:ascii="宋体" w:hAnsi="宋体" w:eastAsia="宋体"/>
                <w:sz w:val="24"/>
              </w:rPr>
              <w:t>3.1.1契约参照点理论</w:t>
            </w:r>
          </w:p>
          <w:p>
            <w:pPr>
              <w:ind w:firstLine="120" w:firstLineChars="50"/>
              <w:rPr>
                <w:rFonts w:ascii="宋体" w:hAnsi="宋体" w:eastAsia="宋体"/>
                <w:sz w:val="24"/>
              </w:rPr>
            </w:pPr>
            <w:r>
              <w:rPr>
                <w:rFonts w:hint="eastAsia" w:ascii="宋体" w:hAnsi="宋体" w:eastAsia="宋体"/>
                <w:sz w:val="24"/>
              </w:rPr>
              <w:t>3.1.2委托代理理论</w:t>
            </w:r>
          </w:p>
          <w:p>
            <w:pPr>
              <w:ind w:firstLine="120" w:firstLineChars="50"/>
              <w:rPr>
                <w:rFonts w:ascii="宋体" w:hAnsi="宋体" w:eastAsia="宋体"/>
                <w:sz w:val="24"/>
              </w:rPr>
            </w:pPr>
            <w:r>
              <w:rPr>
                <w:rFonts w:hint="eastAsia" w:ascii="宋体" w:hAnsi="宋体" w:eastAsia="宋体"/>
                <w:sz w:val="24"/>
              </w:rPr>
              <w:t>3.1.3合约理论</w:t>
            </w:r>
          </w:p>
          <w:p>
            <w:pPr>
              <w:ind w:firstLine="120" w:firstLineChars="50"/>
              <w:rPr>
                <w:rFonts w:ascii="宋体" w:hAnsi="宋体" w:eastAsia="宋体"/>
                <w:sz w:val="24"/>
              </w:rPr>
            </w:pPr>
            <w:r>
              <w:rPr>
                <w:rFonts w:hint="eastAsia" w:ascii="宋体" w:hAnsi="宋体" w:eastAsia="宋体"/>
                <w:sz w:val="24"/>
              </w:rPr>
              <w:t>3.1.4锦标赛理论</w:t>
            </w:r>
          </w:p>
          <w:p>
            <w:pPr>
              <w:rPr>
                <w:rFonts w:ascii="宋体" w:hAnsi="宋体" w:eastAsia="宋体"/>
                <w:sz w:val="24"/>
              </w:rPr>
            </w:pPr>
            <w:r>
              <w:rPr>
                <w:rFonts w:hint="eastAsia" w:ascii="宋体" w:hAnsi="宋体" w:eastAsia="宋体"/>
                <w:sz w:val="24"/>
              </w:rPr>
              <w:t>3.2 假象提出</w:t>
            </w:r>
          </w:p>
          <w:p>
            <w:pPr>
              <w:rPr>
                <w:rFonts w:ascii="宋体" w:hAnsi="宋体" w:eastAsia="宋体"/>
                <w:sz w:val="24"/>
              </w:rPr>
            </w:pPr>
            <w:r>
              <w:rPr>
                <w:rFonts w:hint="eastAsia" w:ascii="宋体" w:hAnsi="宋体" w:eastAsia="宋体"/>
                <w:sz w:val="24"/>
              </w:rPr>
              <w:t>第四章 研究设计</w:t>
            </w:r>
          </w:p>
          <w:p>
            <w:pPr>
              <w:rPr>
                <w:rFonts w:ascii="宋体" w:hAnsi="宋体" w:eastAsia="宋体"/>
                <w:sz w:val="24"/>
              </w:rPr>
            </w:pPr>
            <w:r>
              <w:rPr>
                <w:rFonts w:hint="eastAsia" w:ascii="宋体" w:hAnsi="宋体" w:eastAsia="宋体"/>
                <w:sz w:val="24"/>
              </w:rPr>
              <w:t>4.1 数据来源及样本选取</w:t>
            </w:r>
          </w:p>
          <w:p>
            <w:pPr>
              <w:ind w:firstLine="120" w:firstLineChars="50"/>
              <w:rPr>
                <w:rFonts w:ascii="宋体" w:hAnsi="宋体" w:eastAsia="宋体"/>
                <w:sz w:val="24"/>
              </w:rPr>
            </w:pPr>
            <w:r>
              <w:rPr>
                <w:rFonts w:hint="eastAsia" w:ascii="宋体" w:hAnsi="宋体" w:eastAsia="宋体"/>
                <w:sz w:val="24"/>
              </w:rPr>
              <w:t>4.1.1数据来源</w:t>
            </w:r>
          </w:p>
          <w:p>
            <w:pPr>
              <w:ind w:firstLine="120" w:firstLineChars="50"/>
              <w:rPr>
                <w:rFonts w:ascii="宋体" w:hAnsi="宋体" w:eastAsia="宋体"/>
                <w:sz w:val="24"/>
              </w:rPr>
            </w:pPr>
            <w:r>
              <w:rPr>
                <w:rFonts w:hint="eastAsia" w:ascii="宋体" w:hAnsi="宋体" w:eastAsia="宋体"/>
                <w:sz w:val="24"/>
              </w:rPr>
              <w:t>4.1.2样本选取</w:t>
            </w:r>
          </w:p>
          <w:p>
            <w:pPr>
              <w:rPr>
                <w:rFonts w:ascii="宋体" w:hAnsi="宋体" w:eastAsia="宋体"/>
                <w:sz w:val="24"/>
              </w:rPr>
            </w:pPr>
            <w:r>
              <w:rPr>
                <w:rFonts w:hint="eastAsia" w:ascii="宋体" w:hAnsi="宋体" w:eastAsia="宋体"/>
                <w:sz w:val="24"/>
              </w:rPr>
              <w:t>4.2 关键变量定义</w:t>
            </w:r>
          </w:p>
          <w:p>
            <w:pPr>
              <w:rPr>
                <w:rFonts w:ascii="宋体" w:hAnsi="宋体" w:eastAsia="宋体"/>
                <w:sz w:val="24"/>
              </w:rPr>
            </w:pPr>
            <w:r>
              <w:rPr>
                <w:rFonts w:hint="eastAsia" w:ascii="宋体" w:hAnsi="宋体" w:eastAsia="宋体"/>
                <w:sz w:val="24"/>
              </w:rPr>
              <w:t>4.3 模型设计</w:t>
            </w:r>
          </w:p>
          <w:p>
            <w:pPr>
              <w:rPr>
                <w:rFonts w:ascii="宋体" w:hAnsi="宋体" w:eastAsia="宋体"/>
                <w:sz w:val="24"/>
              </w:rPr>
            </w:pPr>
            <w:r>
              <w:rPr>
                <w:rFonts w:hint="eastAsia" w:ascii="宋体" w:hAnsi="宋体" w:eastAsia="宋体"/>
                <w:sz w:val="24"/>
              </w:rPr>
              <w:t>第五章 实证检验分析</w:t>
            </w:r>
          </w:p>
          <w:p>
            <w:pPr>
              <w:rPr>
                <w:rFonts w:ascii="宋体" w:hAnsi="宋体" w:eastAsia="宋体"/>
                <w:sz w:val="24"/>
              </w:rPr>
            </w:pPr>
            <w:r>
              <w:rPr>
                <w:rFonts w:hint="eastAsia" w:ascii="宋体" w:hAnsi="宋体" w:eastAsia="宋体"/>
                <w:sz w:val="24"/>
              </w:rPr>
              <w:t>5.1 描述性统计</w:t>
            </w:r>
          </w:p>
          <w:p>
            <w:pPr>
              <w:rPr>
                <w:rFonts w:ascii="宋体" w:hAnsi="宋体" w:eastAsia="宋体"/>
                <w:sz w:val="24"/>
              </w:rPr>
            </w:pPr>
            <w:r>
              <w:rPr>
                <w:rFonts w:hint="eastAsia" w:ascii="宋体" w:hAnsi="宋体" w:eastAsia="宋体"/>
                <w:sz w:val="24"/>
              </w:rPr>
              <w:t>5.2 相关性分析</w:t>
            </w:r>
          </w:p>
          <w:p>
            <w:pPr>
              <w:rPr>
                <w:rFonts w:ascii="宋体" w:hAnsi="宋体" w:eastAsia="宋体"/>
                <w:sz w:val="24"/>
              </w:rPr>
            </w:pPr>
            <w:r>
              <w:rPr>
                <w:rFonts w:hint="eastAsia" w:ascii="宋体" w:hAnsi="宋体" w:eastAsia="宋体"/>
                <w:sz w:val="24"/>
              </w:rPr>
              <w:t>5.3 实证回归结果分析</w:t>
            </w:r>
          </w:p>
          <w:p>
            <w:pPr>
              <w:rPr>
                <w:rFonts w:ascii="宋体" w:hAnsi="宋体" w:eastAsia="宋体"/>
                <w:sz w:val="24"/>
              </w:rPr>
            </w:pPr>
            <w:r>
              <w:rPr>
                <w:rFonts w:hint="eastAsia" w:ascii="宋体" w:hAnsi="宋体" w:eastAsia="宋体"/>
                <w:sz w:val="24"/>
              </w:rPr>
              <w:t>5.4 稳健性和内生性检验</w:t>
            </w:r>
          </w:p>
          <w:p>
            <w:pPr>
              <w:rPr>
                <w:rFonts w:ascii="宋体" w:hAnsi="宋体" w:eastAsia="宋体"/>
                <w:sz w:val="24"/>
              </w:rPr>
            </w:pPr>
            <w:r>
              <w:rPr>
                <w:rFonts w:hint="eastAsia" w:ascii="宋体" w:hAnsi="宋体" w:eastAsia="宋体"/>
                <w:sz w:val="24"/>
              </w:rPr>
              <w:t>第六章 结论</w:t>
            </w:r>
          </w:p>
          <w:p>
            <w:pPr>
              <w:rPr>
                <w:rFonts w:ascii="宋体" w:hAnsi="宋体" w:eastAsia="宋体"/>
                <w:sz w:val="24"/>
              </w:rPr>
            </w:pPr>
            <w:r>
              <w:rPr>
                <w:rFonts w:hint="eastAsia" w:ascii="宋体" w:hAnsi="宋体" w:eastAsia="宋体"/>
                <w:sz w:val="24"/>
              </w:rPr>
              <w:t>6.1 主要结论</w:t>
            </w:r>
          </w:p>
          <w:p>
            <w:pPr>
              <w:rPr>
                <w:rFonts w:ascii="宋体" w:hAnsi="宋体" w:eastAsia="宋体"/>
                <w:sz w:val="24"/>
              </w:rPr>
            </w:pPr>
            <w:r>
              <w:rPr>
                <w:rFonts w:hint="eastAsia" w:ascii="宋体" w:hAnsi="宋体" w:eastAsia="宋体"/>
                <w:sz w:val="24"/>
              </w:rPr>
              <w:t>6.2 政策建议</w:t>
            </w:r>
          </w:p>
          <w:p>
            <w:pPr>
              <w:rPr>
                <w:rFonts w:ascii="宋体" w:hAnsi="宋体" w:eastAsia="宋体"/>
                <w:sz w:val="24"/>
              </w:rPr>
            </w:pPr>
            <w:r>
              <w:rPr>
                <w:rFonts w:hint="eastAsia" w:ascii="宋体" w:hAnsi="宋体" w:eastAsia="宋体"/>
                <w:sz w:val="24"/>
              </w:rPr>
              <w:t>6.3 研究不足及未来展望</w:t>
            </w:r>
          </w:p>
          <w:p>
            <w:pPr>
              <w:rPr>
                <w:rFonts w:ascii="宋体" w:hAnsi="宋体" w:eastAsia="宋体"/>
                <w:sz w:val="24"/>
              </w:rPr>
            </w:pPr>
            <w:r>
              <w:rPr>
                <w:rFonts w:hint="eastAsia" w:ascii="宋体" w:hAnsi="宋体" w:eastAsia="宋体"/>
                <w:sz w:val="24"/>
              </w:rPr>
              <w:t>参考文献</w:t>
            </w:r>
          </w:p>
          <w:p>
            <w:pPr>
              <w:rPr>
                <w:rFonts w:ascii="宋体" w:hAnsi="宋体" w:eastAsia="宋体"/>
                <w:sz w:val="24"/>
              </w:rPr>
            </w:pPr>
            <w:r>
              <w:rPr>
                <w:rFonts w:hint="eastAsia" w:ascii="宋体" w:hAnsi="宋体" w:eastAsia="宋体"/>
                <w:sz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sz w:val="24"/>
              </w:rPr>
            </w:pPr>
            <w:r>
              <w:rPr>
                <w:rFonts w:hint="eastAsia" w:ascii="宋体" w:hAnsi="宋体" w:eastAsia="宋体"/>
                <w:sz w:val="24"/>
              </w:rPr>
              <w:t>[1] 杨伟国，唐鑛. 人事管理经济学 [M]. 上海：复旦大学出版社，2012.</w:t>
            </w:r>
          </w:p>
          <w:p>
            <w:pPr>
              <w:rPr>
                <w:rFonts w:ascii="宋体" w:hAnsi="宋体" w:eastAsia="宋体"/>
                <w:sz w:val="24"/>
              </w:rPr>
            </w:pPr>
            <w:r>
              <w:rPr>
                <w:rFonts w:hint="eastAsia" w:ascii="宋体" w:hAnsi="宋体" w:eastAsia="宋体"/>
                <w:sz w:val="24"/>
              </w:rPr>
              <w:t>[2] 陈强. 高级计量经济学及Stata应用 [M]. 北京：高等教育出版社，2014.</w:t>
            </w:r>
          </w:p>
          <w:p>
            <w:pPr>
              <w:rPr>
                <w:rFonts w:ascii="宋体" w:hAnsi="宋体" w:eastAsia="宋体"/>
                <w:sz w:val="24"/>
              </w:rPr>
            </w:pPr>
            <w:r>
              <w:rPr>
                <w:rFonts w:hint="eastAsia" w:ascii="宋体" w:hAnsi="宋体" w:eastAsia="宋体"/>
                <w:sz w:val="24"/>
              </w:rPr>
              <w:t xml:space="preserve">[3] 刘春，孙亮. 薪酬差距与企业绩效：来自国企上市公司的经验证据 [J]. </w:t>
            </w:r>
          </w:p>
          <w:p>
            <w:pPr>
              <w:rPr>
                <w:rFonts w:ascii="宋体" w:hAnsi="宋体" w:eastAsia="宋体"/>
                <w:sz w:val="24"/>
              </w:rPr>
            </w:pPr>
            <w:r>
              <w:rPr>
                <w:rFonts w:hint="eastAsia" w:ascii="宋体" w:hAnsi="宋体" w:eastAsia="宋体"/>
                <w:sz w:val="24"/>
              </w:rPr>
              <w:t>南开管理评论，2010，(2):30-39</w:t>
            </w:r>
          </w:p>
          <w:p>
            <w:pPr>
              <w:rPr>
                <w:rFonts w:ascii="宋体" w:hAnsi="宋体" w:eastAsia="宋体"/>
                <w:sz w:val="24"/>
              </w:rPr>
            </w:pPr>
            <w:r>
              <w:rPr>
                <w:rFonts w:hint="eastAsia" w:ascii="宋体" w:hAnsi="宋体" w:eastAsia="宋体"/>
                <w:sz w:val="24"/>
              </w:rPr>
              <w:t>[4] 卢锐，魏明海，黎文靖. 管理层权力，在职消费与产权效率 [J]. 南开管理评论，2008,11(5):85-92</w:t>
            </w:r>
          </w:p>
          <w:p>
            <w:pPr>
              <w:rPr>
                <w:rFonts w:ascii="宋体" w:hAnsi="宋体" w:eastAsia="宋体"/>
                <w:sz w:val="24"/>
              </w:rPr>
            </w:pPr>
            <w:r>
              <w:rPr>
                <w:rFonts w:hint="eastAsia" w:ascii="宋体" w:hAnsi="宋体" w:eastAsia="宋体"/>
                <w:sz w:val="24"/>
              </w:rPr>
              <w:t>[5] 罗宏，曾永良，宛玲羽. 薪酬攀比，盈余管理与高管薪酬操纵 [J]. 南开管理评论，2016,6(2):32-41</w:t>
            </w:r>
          </w:p>
          <w:p>
            <w:pPr>
              <w:rPr>
                <w:rFonts w:ascii="宋体" w:hAnsi="宋体" w:eastAsia="宋体"/>
                <w:sz w:val="24"/>
              </w:rPr>
            </w:pPr>
            <w:r>
              <w:rPr>
                <w:rFonts w:hint="eastAsia" w:ascii="宋体" w:hAnsi="宋体" w:eastAsia="宋体"/>
                <w:sz w:val="24"/>
              </w:rPr>
              <w:t>[6] 孙静. 论薪酬的公平性问题[J]. 当代经济，2004,(8):39-40</w:t>
            </w:r>
          </w:p>
          <w:p>
            <w:pPr>
              <w:rPr>
                <w:rFonts w:ascii="宋体" w:hAnsi="宋体" w:eastAsia="宋体"/>
                <w:sz w:val="24"/>
              </w:rPr>
            </w:pPr>
            <w:r>
              <w:rPr>
                <w:rFonts w:hint="eastAsia" w:ascii="宋体" w:hAnsi="宋体" w:eastAsia="宋体"/>
                <w:sz w:val="24"/>
              </w:rPr>
              <w:t>[7] 张晓倩. 政府薪酬管制背景下国企高管薪酬契约参照点及业绩敏感性研究 [D].北京理工大学，2016.</w:t>
            </w:r>
          </w:p>
          <w:p>
            <w:pPr>
              <w:rPr>
                <w:rFonts w:ascii="宋体" w:hAnsi="宋体" w:eastAsia="宋体"/>
                <w:sz w:val="24"/>
              </w:rPr>
            </w:pPr>
            <w:r>
              <w:rPr>
                <w:rFonts w:hint="eastAsia" w:ascii="宋体" w:hAnsi="宋体" w:eastAsia="宋体"/>
                <w:sz w:val="24"/>
              </w:rPr>
              <w:t>[8] 罗昆. 薪酬契约参照点效应及其对我国高管行为的影响研究 [D]. 华东师范大学，2017.</w:t>
            </w:r>
          </w:p>
          <w:p>
            <w:pPr>
              <w:rPr>
                <w:rFonts w:ascii="宋体" w:hAnsi="宋体" w:eastAsia="宋体"/>
                <w:sz w:val="24"/>
              </w:rPr>
            </w:pPr>
            <w:r>
              <w:rPr>
                <w:rFonts w:hint="eastAsia" w:ascii="宋体" w:hAnsi="宋体" w:eastAsia="宋体"/>
                <w:sz w:val="24"/>
              </w:rPr>
              <w:t>[9] 许婴鹏. 薪酬契约对高管交易的效应研究——基于民营上市公司的经验证据 [D]. 北京交通大学，2017.</w:t>
            </w:r>
          </w:p>
          <w:p>
            <w:pPr>
              <w:rPr>
                <w:rFonts w:ascii="宋体" w:hAnsi="宋体" w:eastAsia="宋体"/>
                <w:sz w:val="24"/>
              </w:rPr>
            </w:pPr>
            <w:r>
              <w:rPr>
                <w:rFonts w:hint="eastAsia" w:ascii="宋体" w:hAnsi="宋体" w:eastAsia="宋体"/>
                <w:sz w:val="24"/>
              </w:rPr>
              <w:t>[10]张宁宁. 基于薪酬契约参照点效应的并购溢价及并购绩效研究 [D]. 东北财经大学，2018</w:t>
            </w:r>
          </w:p>
          <w:p>
            <w:pPr>
              <w:rPr>
                <w:rFonts w:ascii="宋体" w:hAnsi="宋体" w:eastAsia="宋体"/>
                <w:sz w:val="24"/>
              </w:rPr>
            </w:pPr>
            <w:r>
              <w:rPr>
                <w:rFonts w:hint="eastAsia" w:ascii="宋体" w:hAnsi="宋体" w:eastAsia="宋体"/>
                <w:sz w:val="24"/>
              </w:rPr>
              <w:t>[11]白智奇，张宁宁，张莹. 高管薪酬契约参照与企业并购：并购溢价及并购绩效 [J]. 经济与管理评论，2021.37(1):13-24</w:t>
            </w:r>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roman"/>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C3791"/>
    <w:rsid w:val="001D4ABC"/>
    <w:rsid w:val="001F2172"/>
    <w:rsid w:val="003C213C"/>
    <w:rsid w:val="00556D05"/>
    <w:rsid w:val="005E1D2B"/>
    <w:rsid w:val="00761113"/>
    <w:rsid w:val="00807310"/>
    <w:rsid w:val="009D0666"/>
    <w:rsid w:val="00A32456"/>
    <w:rsid w:val="00AB5DD7"/>
    <w:rsid w:val="00C14F41"/>
    <w:rsid w:val="00E5705C"/>
    <w:rsid w:val="1BDEE388"/>
    <w:rsid w:val="3DE46809"/>
    <w:rsid w:val="9EBF8871"/>
    <w:rsid w:val="9FBF8EB7"/>
    <w:rsid w:val="A79F22FF"/>
    <w:rsid w:val="B7DF4FEA"/>
    <w:rsid w:val="E9710308"/>
    <w:rsid w:val="F0FC134F"/>
    <w:rsid w:val="F7FE00CA"/>
    <w:rsid w:val="FCBE5A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324</Words>
  <Characters>1851</Characters>
  <Lines>15</Lines>
  <Paragraphs>4</Paragraphs>
  <ScaleCrop>false</ScaleCrop>
  <LinksUpToDate>false</LinksUpToDate>
  <CharactersWithSpaces>2171</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2021-06-07T14:30:00Z</dcterms:created>
  <dc:creator>Qi Hang</dc:creator>
  <cp:lastModifiedBy>lzx</cp:lastModifiedBy>
  <dcterms:modified xsi:type="dcterms:W3CDTF">2021-06-07T17:19:43Z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