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71041526</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丁巧巧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13810600416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42810708@qq.com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北京工商大学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广告学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易生支付有限公司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综合管理部总经理助理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人2016年本科毕业于北京工商大学广告学专业，2016至2019年在昌荣传播机构从事策划工作；2019年10月入职海航集团旗下单位，曾从事战略规划与合作、投融资、三会管理、品牌推广等相关工作。目前在海航集团旗下易生支付有限公司任综合管理部总经理助理，分管战略与品牌中心、行政事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对基于生态视角下的林产工业经济发展模式的几点探讨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消费导刊、[国内统一刊号]CN11-5052/Z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r>
              <w:rPr>
                <w:rFonts w:hint="eastAsia" w:ascii="宋体" w:hAnsi="宋体" w:eastAsia="宋体"/>
                <w:sz w:val="24"/>
              </w:rPr>
              <w:t>林产工业经济是我国国民经济的重要组成部分，以林业发展为主要内容。近年来，随着我国环境恶化、资源短缺问题的日益严峻，生态化发展在我国的重要性更</w:t>
            </w:r>
            <w:bookmarkStart w:id="0" w:name="_GoBack"/>
            <w:bookmarkEnd w:id="0"/>
            <w:r>
              <w:rPr>
                <w:rFonts w:hint="eastAsia" w:ascii="宋体" w:hAnsi="宋体" w:eastAsia="宋体"/>
                <w:sz w:val="24"/>
              </w:rPr>
              <w:t>为凸显，林产工业经济应当坚持生态化理念，改善现有情况下所面临的问题，推动发展模式的创新。基于此，文章围绕该方面内容进行了分析与探究，从生态视角分析我国林产工业经济发展中所面临的问题，并结合行业发展的实际情况提出一系列完善对策，旨在促进我国林产工业经济发展水平的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浅谈第三方支付公司的转型发展之路</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26DC3390"/>
    <w:rsid w:val="40140033"/>
    <w:rsid w:val="5815167F"/>
    <w:rsid w:val="6257708D"/>
    <w:rsid w:val="68CA0825"/>
    <w:rsid w:val="78B2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34</TotalTime>
  <ScaleCrop>false</ScaleCrop>
  <LinksUpToDate>false</LinksUpToDate>
  <CharactersWithSpaces>296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巧子</cp:lastModifiedBy>
  <dcterms:modified xsi:type="dcterms:W3CDTF">2021-12-22T02:21:47Z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012F688DF9FE483A9B21B39803C69E12</vt:lpwstr>
  </property>
</Properties>
</file>