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7</w:t>
            </w:r>
            <w:r>
              <w:rPr>
                <w:rFonts w:ascii="宋体" w:hAnsi="宋体" w:eastAsia="宋体"/>
                <w:sz w:val="24"/>
              </w:rPr>
              <w:t>1041663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秦雷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江苏常州</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3815065782</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fldChar w:fldCharType="begin"/>
            </w:r>
            <w:r>
              <w:instrText xml:space="preserve"> HYPERLINK "mailto:Ledachin@163.com" </w:instrText>
            </w:r>
            <w:r>
              <w:fldChar w:fldCharType="separate"/>
            </w:r>
            <w:r>
              <w:rPr>
                <w:rStyle w:val="6"/>
                <w:rFonts w:ascii="宋体" w:hAnsi="宋体" w:eastAsia="宋体"/>
                <w:sz w:val="24"/>
              </w:rPr>
              <w:t>Ledachin@163.com</w:t>
            </w:r>
            <w:r>
              <w:rPr>
                <w:rStyle w:val="6"/>
                <w:rFonts w:ascii="宋体" w:hAnsi="宋体" w:eastAsia="宋体"/>
                <w:sz w:val="24"/>
              </w:rPr>
              <w:fldChar w:fldCharType="end"/>
            </w:r>
            <w:r>
              <w:rPr>
                <w:rFonts w:ascii="宋体" w:hAnsi="宋体" w:eastAsia="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南京审计学院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会计学（C</w:t>
            </w:r>
            <w:r>
              <w:rPr>
                <w:rFonts w:ascii="宋体" w:hAnsi="宋体" w:eastAsia="宋体"/>
                <w:sz w:val="24"/>
              </w:rPr>
              <w:t>GA</w:t>
            </w:r>
            <w:r>
              <w:rPr>
                <w:rFonts w:hint="eastAsia" w:ascii="宋体" w:hAnsi="宋体" w:eastAsia="宋体"/>
                <w:sz w:val="24"/>
              </w:rPr>
              <w:t>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天地（常州）自动化股份有限公司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hint="eastAsia" w:ascii="宋体" w:hAnsi="宋体" w:eastAsia="宋体"/>
                <w:sz w:val="24"/>
              </w:rPr>
            </w:pPr>
            <w:r>
              <w:rPr>
                <w:rFonts w:hint="eastAsia" w:ascii="宋体" w:hAnsi="宋体" w:eastAsia="宋体"/>
                <w:sz w:val="24"/>
              </w:rPr>
              <w:t>本人出生于1</w:t>
            </w:r>
            <w:r>
              <w:rPr>
                <w:rFonts w:ascii="宋体" w:hAnsi="宋体" w:eastAsia="宋体"/>
                <w:sz w:val="24"/>
              </w:rPr>
              <w:t>992</w:t>
            </w:r>
            <w:r>
              <w:rPr>
                <w:rFonts w:hint="eastAsia" w:ascii="宋体" w:hAnsi="宋体" w:eastAsia="宋体"/>
                <w:sz w:val="24"/>
              </w:rPr>
              <w:t>年6月1</w:t>
            </w:r>
            <w:r>
              <w:rPr>
                <w:rFonts w:ascii="宋体" w:hAnsi="宋体" w:eastAsia="宋体"/>
                <w:sz w:val="24"/>
              </w:rPr>
              <w:t>4</w:t>
            </w:r>
            <w:r>
              <w:rPr>
                <w:rFonts w:hint="eastAsia" w:ascii="宋体" w:hAnsi="宋体" w:eastAsia="宋体"/>
                <w:sz w:val="24"/>
              </w:rPr>
              <w:t>日，目前最高学历为本科，于2</w:t>
            </w:r>
            <w:r>
              <w:rPr>
                <w:rFonts w:ascii="宋体" w:hAnsi="宋体" w:eastAsia="宋体"/>
                <w:sz w:val="24"/>
              </w:rPr>
              <w:t>014</w:t>
            </w:r>
            <w:r>
              <w:rPr>
                <w:rFonts w:hint="eastAsia" w:ascii="宋体" w:hAnsi="宋体" w:eastAsia="宋体"/>
                <w:sz w:val="24"/>
              </w:rPr>
              <w:t>年获得学士学位，较长时间在新能源锂电池行业从业，主要从事财务核算、报表分析和项目申报等工作。目前通过自学，已通过C</w:t>
            </w:r>
            <w:r>
              <w:rPr>
                <w:rFonts w:ascii="宋体" w:hAnsi="宋体" w:eastAsia="宋体"/>
                <w:sz w:val="24"/>
              </w:rPr>
              <w:t>GA</w:t>
            </w:r>
            <w:r>
              <w:rPr>
                <w:rFonts w:hint="eastAsia" w:ascii="宋体" w:hAnsi="宋体" w:eastAsia="宋体"/>
                <w:sz w:val="24"/>
              </w:rPr>
              <w:t>国际注册会计师资格考试1</w:t>
            </w:r>
            <w:r>
              <w:rPr>
                <w:rFonts w:ascii="宋体" w:hAnsi="宋体" w:eastAsia="宋体"/>
                <w:sz w:val="24"/>
              </w:rPr>
              <w:t>0</w:t>
            </w:r>
            <w:r>
              <w:rPr>
                <w:rFonts w:hint="eastAsia" w:ascii="宋体" w:hAnsi="宋体" w:eastAsia="宋体"/>
                <w:sz w:val="24"/>
              </w:rPr>
              <w:t>门。</w:t>
            </w:r>
          </w:p>
          <w:p>
            <w:pPr>
              <w:rPr>
                <w:rFonts w:ascii="宋体" w:hAnsi="宋体" w:eastAsia="宋体"/>
                <w:sz w:val="24"/>
              </w:rPr>
            </w:pPr>
            <w:r>
              <w:rPr>
                <w:rFonts w:hint="eastAsia" w:ascii="宋体" w:hAnsi="宋体" w:eastAsia="宋体"/>
                <w:sz w:val="24"/>
              </w:rPr>
              <w:t>2</w:t>
            </w:r>
            <w:r>
              <w:rPr>
                <w:rFonts w:ascii="宋体" w:hAnsi="宋体" w:eastAsia="宋体"/>
                <w:sz w:val="24"/>
              </w:rPr>
              <w:t xml:space="preserve">010.09-2014.06 </w:t>
            </w:r>
            <w:r>
              <w:rPr>
                <w:rFonts w:hint="eastAsia" w:ascii="宋体" w:hAnsi="宋体" w:eastAsia="宋体"/>
                <w:sz w:val="24"/>
              </w:rPr>
              <w:t xml:space="preserve">南京审计学院 </w:t>
            </w:r>
            <w:r>
              <w:rPr>
                <w:rFonts w:ascii="宋体" w:hAnsi="宋体" w:eastAsia="宋体"/>
                <w:sz w:val="24"/>
              </w:rPr>
              <w:t xml:space="preserve"> </w:t>
            </w:r>
            <w:r>
              <w:rPr>
                <w:rFonts w:hint="eastAsia" w:ascii="宋体" w:hAnsi="宋体" w:eastAsia="宋体"/>
                <w:sz w:val="24"/>
              </w:rPr>
              <w:t>会计学(</w:t>
            </w:r>
            <w:r>
              <w:rPr>
                <w:rFonts w:ascii="宋体" w:hAnsi="宋体" w:eastAsia="宋体"/>
                <w:sz w:val="24"/>
              </w:rPr>
              <w:t>CGA</w:t>
            </w:r>
            <w:r>
              <w:rPr>
                <w:rFonts w:hint="eastAsia" w:ascii="宋体" w:hAnsi="宋体" w:eastAsia="宋体"/>
                <w:sz w:val="24"/>
              </w:rPr>
              <w:t>方向</w:t>
            </w:r>
            <w:r>
              <w:rPr>
                <w:rFonts w:ascii="宋体" w:hAnsi="宋体" w:eastAsia="宋体"/>
                <w:sz w:val="24"/>
              </w:rPr>
              <w:t xml:space="preserve">) </w:t>
            </w:r>
            <w:r>
              <w:rPr>
                <w:rFonts w:hint="eastAsia" w:ascii="宋体" w:hAnsi="宋体" w:eastAsia="宋体"/>
                <w:sz w:val="24"/>
              </w:rPr>
              <w:t>本科学士学位</w:t>
            </w:r>
          </w:p>
          <w:p>
            <w:pPr>
              <w:rPr>
                <w:rFonts w:ascii="宋体" w:hAnsi="宋体" w:eastAsia="宋体"/>
                <w:sz w:val="24"/>
              </w:rPr>
            </w:pPr>
            <w:r>
              <w:rPr>
                <w:rFonts w:hint="eastAsia" w:ascii="宋体" w:hAnsi="宋体" w:eastAsia="宋体"/>
                <w:sz w:val="24"/>
              </w:rPr>
              <w:t>2</w:t>
            </w:r>
            <w:r>
              <w:rPr>
                <w:rFonts w:ascii="宋体" w:hAnsi="宋体" w:eastAsia="宋体"/>
                <w:sz w:val="24"/>
              </w:rPr>
              <w:t xml:space="preserve">014.07-2015.07 </w:t>
            </w:r>
            <w:r>
              <w:rPr>
                <w:rFonts w:hint="eastAsia" w:ascii="宋体" w:hAnsi="宋体" w:eastAsia="宋体"/>
                <w:sz w:val="24"/>
              </w:rPr>
              <w:t>于中顺会计服务有限公司，从事账务税务工作</w:t>
            </w:r>
          </w:p>
          <w:p>
            <w:pPr>
              <w:rPr>
                <w:rFonts w:ascii="宋体" w:hAnsi="宋体" w:eastAsia="宋体"/>
                <w:sz w:val="24"/>
              </w:rPr>
            </w:pPr>
            <w:r>
              <w:rPr>
                <w:rFonts w:hint="eastAsia" w:ascii="宋体" w:hAnsi="宋体" w:eastAsia="宋体"/>
                <w:sz w:val="24"/>
              </w:rPr>
              <w:t>2</w:t>
            </w:r>
            <w:r>
              <w:rPr>
                <w:rFonts w:ascii="宋体" w:hAnsi="宋体" w:eastAsia="宋体"/>
                <w:sz w:val="24"/>
              </w:rPr>
              <w:t xml:space="preserve">015.07-2016.12 </w:t>
            </w:r>
            <w:r>
              <w:rPr>
                <w:rFonts w:hint="eastAsia" w:ascii="宋体" w:hAnsi="宋体" w:eastAsia="宋体"/>
                <w:sz w:val="24"/>
              </w:rPr>
              <w:t>于瑞声光电科技（常州）有限公司，从事财务会计的工作，主要负责A</w:t>
            </w:r>
            <w:r>
              <w:rPr>
                <w:rFonts w:ascii="宋体" w:hAnsi="宋体" w:eastAsia="宋体"/>
                <w:sz w:val="24"/>
              </w:rPr>
              <w:t>R</w:t>
            </w:r>
            <w:r>
              <w:rPr>
                <w:rFonts w:hint="eastAsia" w:ascii="宋体" w:hAnsi="宋体" w:eastAsia="宋体"/>
                <w:sz w:val="24"/>
              </w:rPr>
              <w:t>的账务处理工作；</w:t>
            </w:r>
          </w:p>
          <w:p>
            <w:pPr>
              <w:rPr>
                <w:rFonts w:ascii="宋体" w:hAnsi="宋体" w:eastAsia="宋体"/>
                <w:sz w:val="24"/>
              </w:rPr>
            </w:pPr>
            <w:r>
              <w:rPr>
                <w:rFonts w:hint="eastAsia" w:ascii="宋体" w:hAnsi="宋体" w:eastAsia="宋体"/>
                <w:sz w:val="24"/>
              </w:rPr>
              <w:t>2</w:t>
            </w:r>
            <w:r>
              <w:rPr>
                <w:rFonts w:ascii="宋体" w:hAnsi="宋体" w:eastAsia="宋体"/>
                <w:sz w:val="24"/>
              </w:rPr>
              <w:t xml:space="preserve">017.04-2020.11 </w:t>
            </w:r>
            <w:r>
              <w:rPr>
                <w:rFonts w:hint="eastAsia" w:ascii="宋体" w:hAnsi="宋体" w:eastAsia="宋体"/>
                <w:sz w:val="24"/>
              </w:rPr>
              <w:t>于中航锂电科技有限公司，从事总账、政府项目、系统开发和维护等工作；主要工作职能为账务核算、报表出具和分析、系统的上线开发和优化，以及I</w:t>
            </w:r>
            <w:r>
              <w:rPr>
                <w:rFonts w:ascii="宋体" w:hAnsi="宋体" w:eastAsia="宋体"/>
                <w:sz w:val="24"/>
              </w:rPr>
              <w:t>PO</w:t>
            </w:r>
            <w:r>
              <w:rPr>
                <w:rFonts w:hint="eastAsia" w:ascii="宋体" w:hAnsi="宋体" w:eastAsia="宋体"/>
                <w:sz w:val="24"/>
              </w:rPr>
              <w:t>利润策划等工作。</w:t>
            </w:r>
          </w:p>
          <w:p>
            <w:pPr>
              <w:rPr>
                <w:rFonts w:hint="eastAsia" w:ascii="宋体" w:hAnsi="宋体" w:eastAsia="宋体"/>
                <w:sz w:val="24"/>
              </w:rPr>
            </w:pPr>
            <w:r>
              <w:rPr>
                <w:rFonts w:hint="eastAsia" w:ascii="宋体" w:hAnsi="宋体" w:eastAsia="宋体"/>
                <w:sz w:val="24"/>
              </w:rPr>
              <w:t>2</w:t>
            </w:r>
            <w:r>
              <w:rPr>
                <w:rFonts w:ascii="宋体" w:hAnsi="宋体" w:eastAsia="宋体"/>
                <w:sz w:val="24"/>
              </w:rPr>
              <w:t>020.11-</w:t>
            </w:r>
            <w:r>
              <w:rPr>
                <w:rFonts w:hint="eastAsia" w:ascii="宋体" w:hAnsi="宋体" w:eastAsia="宋体"/>
                <w:sz w:val="24"/>
              </w:rPr>
              <w:t>至今于天地（常州）自动化股份有限公司，从事管理会计、预算管理、财务分析的工作。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否</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rPr>
              <w:t>（刊物名称及刊号）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hint="eastAsia" w:ascii="宋体" w:hAnsi="宋体" w:eastAsia="宋体"/>
                <w:sz w:val="24"/>
              </w:rPr>
            </w:pPr>
            <w:r>
              <w:rPr>
                <w:rFonts w:hint="eastAsia" w:ascii="宋体" w:hAnsi="宋体" w:eastAsia="宋体"/>
                <w:sz w:val="24"/>
              </w:rPr>
              <w:t>锂电池行业政府补贴、资本结构和企业</w:t>
            </w:r>
            <w:r>
              <w:rPr>
                <w:rFonts w:hint="eastAsia" w:ascii="宋体" w:hAnsi="宋体" w:eastAsia="宋体"/>
                <w:sz w:val="24"/>
                <w:lang w:val="en-US" w:eastAsia="zh-CN"/>
              </w:rPr>
              <w:t>盈利能力、成长性的相关性</w:t>
            </w:r>
            <w:r>
              <w:rPr>
                <w:rFonts w:hint="eastAsia" w:ascii="宋体" w:hAnsi="宋体" w:eastAsia="宋体"/>
                <w:sz w:val="24"/>
              </w:rPr>
              <w:t>研究-以上市龙头企业C公司和B公司为例的实证分析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rPr>
                <w:rFonts w:hint="eastAsia" w:ascii="宋体" w:hAnsi="宋体" w:eastAsia="宋体"/>
                <w:sz w:val="24"/>
              </w:rPr>
            </w:pPr>
            <w:r>
              <w:rPr>
                <w:rFonts w:hint="eastAsia" w:ascii="宋体" w:hAnsi="宋体" w:eastAsia="宋体"/>
                <w:sz w:val="24"/>
              </w:rPr>
              <w:t>根据中汽协方面的数据，今年七月，新能源汽车产销分别完成</w:t>
            </w:r>
            <w:r>
              <w:rPr>
                <w:rFonts w:ascii="宋体" w:hAnsi="宋体" w:eastAsia="宋体"/>
                <w:sz w:val="24"/>
              </w:rPr>
              <w:t>8．4万辆和8．0万辆，同比分别下降6．9％和4．7％。自2017年一月以来，首次下降。而新能源汽车产销下降直接影响到电池装机量。今年八月，我国动力锂电池装机量共计3．5GWh，同比下降17．1％，环比下降26．4％。经过多年飞速发展的动力锂电池行业，近年随着补贴的一步步退坡，不断洗牌，集中度持续提升。</w:t>
            </w:r>
            <w:r>
              <w:rPr>
                <w:rFonts w:hint="eastAsia" w:ascii="宋体" w:hAnsi="宋体" w:eastAsia="宋体"/>
                <w:sz w:val="24"/>
              </w:rPr>
              <w:t>产业爆发也孕育出了宁德时代（</w:t>
            </w:r>
            <w:r>
              <w:rPr>
                <w:rFonts w:ascii="宋体" w:hAnsi="宋体" w:eastAsia="宋体"/>
                <w:sz w:val="24"/>
              </w:rPr>
              <w:t>300750．SZ）和比亚迪（002594．SZ）这样的明星公司。据高工产业研究院数据显示，2019上半年宁德时代和比亚迪的装机量稳居行业前两位，分别为13．64GWh和7．36GWh，占总电量约45．45％和24．28％。远远甩开3～5位的国轩高科（1．76GWh）、力神（0．81GWh）和亿纬锂能（0．56GWh），成为国内动力锂电池行业“双寡头”</w:t>
            </w:r>
            <w:r>
              <w:rPr>
                <w:rFonts w:hint="eastAsia" w:ascii="宋体" w:hAnsi="宋体" w:eastAsia="宋体"/>
                <w:sz w:val="24"/>
              </w:rPr>
              <w:t>，对于宁德时代（C公司）和比亚迪（B公司）而言，占据几乎</w:t>
            </w:r>
            <w:r>
              <w:rPr>
                <w:rFonts w:ascii="宋体" w:hAnsi="宋体" w:eastAsia="宋体"/>
                <w:sz w:val="24"/>
              </w:rPr>
              <w:t>78%</w:t>
            </w:r>
            <w:r>
              <w:rPr>
                <w:rFonts w:hint="eastAsia" w:ascii="宋体" w:hAnsi="宋体" w:eastAsia="宋体"/>
                <w:sz w:val="24"/>
              </w:rPr>
              <w:t>以上的市场，上游汽车行业的补贴退坡，对双寡头的两大公司而言，也会有相同的影响。通过研究两大公司近5年-</w:t>
            </w:r>
            <w:r>
              <w:rPr>
                <w:rFonts w:ascii="宋体" w:hAnsi="宋体" w:eastAsia="宋体"/>
                <w:sz w:val="24"/>
              </w:rPr>
              <w:t>10</w:t>
            </w:r>
            <w:r>
              <w:rPr>
                <w:rFonts w:hint="eastAsia" w:ascii="宋体" w:hAnsi="宋体" w:eastAsia="宋体"/>
                <w:sz w:val="24"/>
              </w:rPr>
              <w:t>年的每季度数据，来挖掘政府补助对于锂电池制造业的影响，并预测，未来在补助退坡至消失的情况下，是否会对锂电池行业造成打击，从而对锂电池行业的发展的健康与否进行分析和推断。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pStyle w:val="10"/>
              <w:numPr>
                <w:ilvl w:val="0"/>
                <w:numId w:val="1"/>
              </w:numPr>
              <w:ind w:firstLineChars="0"/>
              <w:rPr>
                <w:rFonts w:ascii="宋体" w:hAnsi="宋体" w:eastAsia="宋体"/>
                <w:sz w:val="24"/>
              </w:rPr>
            </w:pPr>
            <w:r>
              <w:rPr>
                <w:rFonts w:hint="eastAsia" w:ascii="宋体" w:hAnsi="宋体" w:eastAsia="宋体"/>
                <w:sz w:val="24"/>
              </w:rPr>
              <w:t>绪论</w:t>
            </w:r>
          </w:p>
          <w:p>
            <w:pPr>
              <w:pStyle w:val="10"/>
              <w:numPr>
                <w:ilvl w:val="0"/>
                <w:numId w:val="2"/>
              </w:numPr>
              <w:ind w:firstLineChars="0"/>
              <w:rPr>
                <w:rFonts w:ascii="宋体" w:hAnsi="宋体" w:eastAsia="宋体"/>
                <w:sz w:val="24"/>
              </w:rPr>
            </w:pPr>
            <w:r>
              <w:rPr>
                <w:rFonts w:hint="eastAsia" w:ascii="宋体" w:hAnsi="宋体" w:eastAsia="宋体"/>
                <w:sz w:val="24"/>
              </w:rPr>
              <w:t>研究背景概述</w:t>
            </w:r>
          </w:p>
          <w:p>
            <w:pPr>
              <w:pStyle w:val="10"/>
              <w:numPr>
                <w:ilvl w:val="0"/>
                <w:numId w:val="2"/>
              </w:numPr>
              <w:ind w:firstLineChars="0"/>
              <w:rPr>
                <w:rFonts w:ascii="宋体" w:hAnsi="宋体" w:eastAsia="宋体"/>
                <w:sz w:val="24"/>
              </w:rPr>
            </w:pPr>
            <w:r>
              <w:rPr>
                <w:rFonts w:hint="eastAsia" w:ascii="宋体" w:hAnsi="宋体" w:eastAsia="宋体"/>
                <w:sz w:val="24"/>
              </w:rPr>
              <w:t>研究的主要意义</w:t>
            </w:r>
          </w:p>
          <w:p>
            <w:pPr>
              <w:pStyle w:val="10"/>
              <w:numPr>
                <w:ilvl w:val="0"/>
                <w:numId w:val="2"/>
              </w:numPr>
              <w:ind w:firstLineChars="0"/>
              <w:rPr>
                <w:rFonts w:ascii="宋体" w:hAnsi="宋体" w:eastAsia="宋体"/>
                <w:sz w:val="24"/>
              </w:rPr>
            </w:pPr>
            <w:r>
              <w:rPr>
                <w:rFonts w:hint="eastAsia" w:ascii="宋体" w:hAnsi="宋体" w:eastAsia="宋体"/>
                <w:sz w:val="24"/>
              </w:rPr>
              <w:t>研究的方法和思路</w:t>
            </w:r>
          </w:p>
          <w:p>
            <w:pPr>
              <w:pStyle w:val="10"/>
              <w:numPr>
                <w:ilvl w:val="0"/>
                <w:numId w:val="2"/>
              </w:numPr>
              <w:ind w:firstLineChars="0"/>
              <w:rPr>
                <w:rFonts w:ascii="宋体" w:hAnsi="宋体" w:eastAsia="宋体"/>
                <w:sz w:val="24"/>
              </w:rPr>
            </w:pPr>
            <w:r>
              <w:rPr>
                <w:rFonts w:hint="eastAsia" w:ascii="宋体" w:hAnsi="宋体" w:eastAsia="宋体"/>
                <w:sz w:val="24"/>
              </w:rPr>
              <w:t>创新点描述</w:t>
            </w:r>
          </w:p>
          <w:p>
            <w:pPr>
              <w:pStyle w:val="10"/>
              <w:numPr>
                <w:ilvl w:val="0"/>
                <w:numId w:val="1"/>
              </w:numPr>
              <w:ind w:firstLineChars="0"/>
              <w:rPr>
                <w:rFonts w:ascii="宋体" w:hAnsi="宋体" w:eastAsia="宋体"/>
                <w:sz w:val="24"/>
              </w:rPr>
            </w:pPr>
            <w:r>
              <w:rPr>
                <w:rFonts w:hint="eastAsia" w:ascii="宋体" w:hAnsi="宋体" w:eastAsia="宋体"/>
                <w:sz w:val="24"/>
              </w:rPr>
              <w:t>文献综述</w:t>
            </w:r>
          </w:p>
          <w:p>
            <w:pPr>
              <w:pStyle w:val="10"/>
              <w:numPr>
                <w:ilvl w:val="0"/>
                <w:numId w:val="3"/>
              </w:numPr>
              <w:ind w:firstLineChars="0"/>
              <w:rPr>
                <w:rFonts w:ascii="宋体" w:hAnsi="宋体" w:eastAsia="宋体"/>
                <w:sz w:val="24"/>
              </w:rPr>
            </w:pPr>
            <w:r>
              <w:rPr>
                <w:rFonts w:hint="eastAsia" w:ascii="宋体" w:hAnsi="宋体" w:eastAsia="宋体"/>
                <w:sz w:val="24"/>
              </w:rPr>
              <w:t>政府补助对于新能源行业的影响</w:t>
            </w:r>
          </w:p>
          <w:p>
            <w:pPr>
              <w:pStyle w:val="10"/>
              <w:numPr>
                <w:ilvl w:val="0"/>
                <w:numId w:val="3"/>
              </w:numPr>
              <w:ind w:firstLineChars="0"/>
              <w:rPr>
                <w:rFonts w:ascii="宋体" w:hAnsi="宋体" w:eastAsia="宋体"/>
                <w:sz w:val="24"/>
              </w:rPr>
            </w:pPr>
            <w:r>
              <w:rPr>
                <w:rFonts w:hint="eastAsia" w:ascii="宋体" w:hAnsi="宋体" w:eastAsia="宋体"/>
                <w:sz w:val="24"/>
              </w:rPr>
              <w:t>政府补助和企业的</w:t>
            </w:r>
            <w:r>
              <w:rPr>
                <w:rFonts w:hint="eastAsia" w:ascii="宋体" w:hAnsi="宋体" w:eastAsia="宋体"/>
                <w:sz w:val="24"/>
                <w:lang w:val="en-US" w:eastAsia="zh-CN"/>
              </w:rPr>
              <w:t>盈利性</w:t>
            </w:r>
            <w:r>
              <w:rPr>
                <w:rFonts w:hint="eastAsia" w:ascii="宋体" w:hAnsi="宋体" w:eastAsia="宋体"/>
                <w:sz w:val="24"/>
              </w:rPr>
              <w:t>成长性指标的研究</w:t>
            </w:r>
          </w:p>
          <w:p>
            <w:pPr>
              <w:pStyle w:val="10"/>
              <w:numPr>
                <w:ilvl w:val="0"/>
                <w:numId w:val="3"/>
              </w:numPr>
              <w:ind w:firstLineChars="0"/>
              <w:rPr>
                <w:rFonts w:ascii="宋体" w:hAnsi="宋体" w:eastAsia="宋体"/>
                <w:sz w:val="24"/>
              </w:rPr>
            </w:pPr>
            <w:r>
              <w:rPr>
                <w:rFonts w:hint="eastAsia" w:ascii="宋体" w:hAnsi="宋体" w:eastAsia="宋体"/>
                <w:sz w:val="24"/>
              </w:rPr>
              <w:t>政府补助和资本结构的研究</w:t>
            </w:r>
          </w:p>
          <w:p>
            <w:pPr>
              <w:pStyle w:val="10"/>
              <w:numPr>
                <w:ilvl w:val="0"/>
                <w:numId w:val="3"/>
              </w:numPr>
              <w:ind w:firstLineChars="0"/>
              <w:rPr>
                <w:rFonts w:ascii="宋体" w:hAnsi="宋体" w:eastAsia="宋体"/>
                <w:sz w:val="24"/>
              </w:rPr>
            </w:pPr>
            <w:r>
              <w:rPr>
                <w:rFonts w:hint="eastAsia" w:ascii="宋体" w:hAnsi="宋体" w:eastAsia="宋体"/>
                <w:sz w:val="24"/>
              </w:rPr>
              <w:t>资本结构和企业</w:t>
            </w:r>
            <w:r>
              <w:rPr>
                <w:rFonts w:hint="eastAsia" w:ascii="宋体" w:hAnsi="宋体" w:eastAsia="宋体"/>
                <w:sz w:val="24"/>
                <w:lang w:val="en-US" w:eastAsia="zh-CN"/>
              </w:rPr>
              <w:t>盈利性</w:t>
            </w:r>
            <w:r>
              <w:rPr>
                <w:rFonts w:hint="eastAsia" w:ascii="宋体" w:hAnsi="宋体" w:eastAsia="宋体"/>
                <w:sz w:val="24"/>
              </w:rPr>
              <w:t>成长性的研究</w:t>
            </w:r>
          </w:p>
          <w:p>
            <w:pPr>
              <w:pStyle w:val="10"/>
              <w:numPr>
                <w:ilvl w:val="0"/>
                <w:numId w:val="1"/>
              </w:numPr>
              <w:ind w:firstLineChars="0"/>
              <w:rPr>
                <w:rFonts w:ascii="宋体" w:hAnsi="宋体" w:eastAsia="宋体"/>
                <w:sz w:val="24"/>
              </w:rPr>
            </w:pPr>
            <w:r>
              <w:rPr>
                <w:rFonts w:hint="eastAsia" w:ascii="宋体" w:hAnsi="宋体" w:eastAsia="宋体"/>
                <w:sz w:val="24"/>
              </w:rPr>
              <w:t>理论分析和研究假设</w:t>
            </w:r>
          </w:p>
          <w:p>
            <w:pPr>
              <w:pStyle w:val="10"/>
              <w:numPr>
                <w:ilvl w:val="0"/>
                <w:numId w:val="4"/>
              </w:numPr>
              <w:ind w:firstLineChars="0"/>
              <w:rPr>
                <w:rFonts w:ascii="宋体" w:hAnsi="宋体" w:eastAsia="宋体"/>
                <w:sz w:val="24"/>
              </w:rPr>
            </w:pPr>
            <w:r>
              <w:rPr>
                <w:rFonts w:hint="eastAsia" w:ascii="宋体" w:hAnsi="宋体" w:eastAsia="宋体"/>
                <w:sz w:val="24"/>
              </w:rPr>
              <w:t>理论研究：对于新兴行业的生命周期理论</w:t>
            </w:r>
          </w:p>
          <w:p>
            <w:pPr>
              <w:pStyle w:val="10"/>
              <w:numPr>
                <w:ilvl w:val="0"/>
                <w:numId w:val="4"/>
              </w:numPr>
              <w:ind w:firstLineChars="0"/>
              <w:rPr>
                <w:rFonts w:ascii="宋体" w:hAnsi="宋体" w:eastAsia="宋体"/>
                <w:sz w:val="24"/>
              </w:rPr>
            </w:pPr>
            <w:r>
              <w:rPr>
                <w:rFonts w:hint="eastAsia" w:ascii="宋体" w:hAnsi="宋体" w:eastAsia="宋体"/>
                <w:sz w:val="24"/>
              </w:rPr>
              <w:t>理论研究：政府补助的主要机制</w:t>
            </w:r>
            <w:r>
              <w:rPr>
                <w:rFonts w:hint="eastAsia" w:ascii="宋体" w:hAnsi="宋体" w:eastAsia="宋体"/>
                <w:sz w:val="24"/>
                <w:lang w:val="en-US" w:eastAsia="zh-CN"/>
              </w:rPr>
              <w:t>和补助方式</w:t>
            </w:r>
            <w:r>
              <w:rPr>
                <w:rFonts w:hint="eastAsia" w:ascii="宋体" w:hAnsi="宋体" w:eastAsia="宋体"/>
                <w:sz w:val="24"/>
              </w:rPr>
              <w:t>，对</w:t>
            </w:r>
            <w:r>
              <w:rPr>
                <w:rFonts w:hint="eastAsia" w:ascii="宋体" w:hAnsi="宋体" w:eastAsia="宋体"/>
                <w:sz w:val="24"/>
                <w:lang w:val="en-US" w:eastAsia="zh-CN"/>
              </w:rPr>
              <w:t>行业</w:t>
            </w:r>
            <w:bookmarkStart w:id="0" w:name="_GoBack"/>
            <w:bookmarkEnd w:id="0"/>
            <w:r>
              <w:rPr>
                <w:rFonts w:hint="eastAsia" w:ascii="宋体" w:hAnsi="宋体" w:eastAsia="宋体"/>
                <w:sz w:val="24"/>
              </w:rPr>
              <w:t>发展的影响</w:t>
            </w:r>
          </w:p>
          <w:p>
            <w:pPr>
              <w:pStyle w:val="10"/>
              <w:numPr>
                <w:ilvl w:val="0"/>
                <w:numId w:val="4"/>
              </w:numPr>
              <w:ind w:firstLineChars="0"/>
              <w:rPr>
                <w:rFonts w:ascii="宋体" w:hAnsi="宋体" w:eastAsia="宋体"/>
                <w:sz w:val="24"/>
              </w:rPr>
            </w:pPr>
            <w:r>
              <w:rPr>
                <w:rFonts w:hint="eastAsia" w:ascii="宋体" w:hAnsi="宋体" w:eastAsia="宋体"/>
                <w:sz w:val="24"/>
              </w:rPr>
              <w:t>提出实证假设：补助对于企业的盈利能力、补助对于企业的资本结构、盈利能力和资本结构的关系，除此之外的变量，例如企业的商誉、产品的质量等不做考虑。（主要选取政府补助高峰时段和退坡时段的数据，成长性指标计划选取两家公司在该时段内的所有者权益增长率和营业收入增长率等经营指标）</w:t>
            </w:r>
          </w:p>
          <w:p>
            <w:pPr>
              <w:pStyle w:val="10"/>
              <w:numPr>
                <w:ilvl w:val="0"/>
                <w:numId w:val="4"/>
              </w:numPr>
              <w:ind w:firstLineChars="0"/>
              <w:rPr>
                <w:rFonts w:ascii="宋体" w:hAnsi="宋体" w:eastAsia="宋体"/>
                <w:sz w:val="24"/>
              </w:rPr>
            </w:pPr>
            <w:r>
              <w:rPr>
                <w:rFonts w:hint="eastAsia" w:ascii="宋体" w:hAnsi="宋体" w:eastAsia="宋体"/>
                <w:sz w:val="24"/>
              </w:rPr>
              <w:t>样本和模型搭建：选取样本、搭建简单的分析模型，变量描述、统计描述，两家龙头企业的对比分析</w:t>
            </w:r>
          </w:p>
          <w:p>
            <w:pPr>
              <w:pStyle w:val="10"/>
              <w:numPr>
                <w:ilvl w:val="0"/>
                <w:numId w:val="4"/>
              </w:numPr>
              <w:ind w:firstLineChars="0"/>
              <w:rPr>
                <w:rFonts w:ascii="宋体" w:hAnsi="宋体" w:eastAsia="宋体"/>
                <w:sz w:val="24"/>
              </w:rPr>
            </w:pPr>
            <w:r>
              <w:rPr>
                <w:rFonts w:hint="eastAsia" w:ascii="宋体" w:hAnsi="宋体" w:eastAsia="宋体"/>
                <w:sz w:val="24"/>
              </w:rPr>
              <w:t>线性回归检验</w:t>
            </w:r>
          </w:p>
          <w:p>
            <w:pPr>
              <w:pStyle w:val="10"/>
              <w:numPr>
                <w:ilvl w:val="0"/>
                <w:numId w:val="4"/>
              </w:numPr>
              <w:ind w:firstLineChars="0"/>
              <w:rPr>
                <w:rFonts w:ascii="宋体" w:hAnsi="宋体" w:eastAsia="宋体"/>
                <w:sz w:val="24"/>
              </w:rPr>
            </w:pPr>
            <w:r>
              <w:rPr>
                <w:rFonts w:hint="eastAsia" w:ascii="宋体" w:hAnsi="宋体" w:eastAsia="宋体"/>
                <w:sz w:val="24"/>
              </w:rPr>
              <w:t>回归结果的描述</w:t>
            </w:r>
          </w:p>
          <w:p>
            <w:pPr>
              <w:rPr>
                <w:rFonts w:hint="eastAsia" w:ascii="宋体" w:hAnsi="宋体" w:eastAsia="宋体"/>
                <w:sz w:val="24"/>
              </w:rPr>
            </w:pPr>
            <w:r>
              <w:rPr>
                <w:rFonts w:hint="eastAsia" w:ascii="宋体" w:hAnsi="宋体" w:eastAsia="宋体"/>
                <w:sz w:val="24"/>
              </w:rPr>
              <w:t>四、结论</w:t>
            </w:r>
          </w:p>
          <w:p>
            <w:pPr>
              <w:rPr>
                <w:rFonts w:hint="eastAsia" w:ascii="宋体" w:hAnsi="宋体" w:eastAsia="宋体"/>
                <w:sz w:val="24"/>
              </w:rPr>
            </w:pPr>
            <w:r>
              <w:rPr>
                <w:rFonts w:hint="eastAsia" w:ascii="宋体" w:hAnsi="宋体" w:eastAsia="宋体"/>
                <w:sz w:val="24"/>
              </w:rPr>
              <w:t>五、建议、未来展望和不足之处等。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ascii="宋体" w:hAnsi="宋体" w:eastAsia="宋体" w:cs="宋体"/>
                <w:color w:val="000000"/>
                <w:kern w:val="0"/>
                <w:sz w:val="18"/>
                <w:szCs w:val="18"/>
              </w:rPr>
            </w:pPr>
            <w:r>
              <w:rPr>
                <w:rFonts w:hint="eastAsia" w:ascii="宋体" w:hAnsi="宋体" w:eastAsia="宋体" w:cs="宋体"/>
                <w:color w:val="000000"/>
                <w:kern w:val="0"/>
                <w:sz w:val="18"/>
                <w:szCs w:val="18"/>
              </w:rPr>
              <w:t>财经问题研究、知网实证分析的优秀论文、政府补贴与民营企业成长性关系研究、中国管理科学、会计研究等。</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b/>
          <w:bCs/>
          <w:color w:val="FF0000"/>
        </w:rPr>
      </w:pPr>
      <w:r>
        <w:rPr>
          <w:rFonts w:hint="eastAsia" w:ascii="宋体" w:hAnsi="宋体" w:eastAsia="宋体"/>
          <w:b/>
          <w:bCs/>
          <w:color w:val="FF0000"/>
        </w:rPr>
        <w:t>2、论文写作和答辩期限以成绩单里“考试日期”列中最后一个日期开始计时，一年半内必须完成，期间只能选择一个时间节点答辩，逾期视为自动放弃答辩资格，学位申请无效，无法延期。</w:t>
      </w:r>
    </w:p>
    <w:p>
      <w:pPr>
        <w:ind w:firstLine="422" w:firstLineChars="200"/>
        <w:rPr>
          <w:rFonts w:ascii="宋体" w:hAnsi="宋体" w:eastAsia="宋体"/>
        </w:rPr>
      </w:pPr>
      <w:r>
        <w:rPr>
          <w:rFonts w:hint="eastAsia" w:ascii="宋体" w:hAnsi="宋体" w:eastAsia="宋体"/>
          <w:b/>
          <w:bCs/>
          <w:color w:val="FF0000"/>
        </w:rPr>
        <w:t>3、学位论文研究方向可选择自己感兴趣的经济领域或是与工作内容相关领域。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5B6"/>
    <w:multiLevelType w:val="multilevel"/>
    <w:tmpl w:val="059145B6"/>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9C27981"/>
    <w:multiLevelType w:val="multilevel"/>
    <w:tmpl w:val="39C27981"/>
    <w:lvl w:ilvl="0" w:tentative="0">
      <w:start w:val="1"/>
      <w:numFmt w:val="japaneseCounting"/>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540E57D8"/>
    <w:multiLevelType w:val="multilevel"/>
    <w:tmpl w:val="540E57D8"/>
    <w:lvl w:ilvl="0" w:tentative="0">
      <w:start w:val="1"/>
      <w:numFmt w:val="japaneseCounting"/>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3">
    <w:nsid w:val="74F355AE"/>
    <w:multiLevelType w:val="multilevel"/>
    <w:tmpl w:val="74F355AE"/>
    <w:lvl w:ilvl="0" w:tentative="0">
      <w:start w:val="1"/>
      <w:numFmt w:val="japaneseCounting"/>
      <w:lvlText w:val="（%1）"/>
      <w:lvlJc w:val="left"/>
      <w:pPr>
        <w:ind w:left="960" w:hanging="72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0E2756"/>
    <w:rsid w:val="00111AC2"/>
    <w:rsid w:val="001C3791"/>
    <w:rsid w:val="001D4ABC"/>
    <w:rsid w:val="001F2172"/>
    <w:rsid w:val="00265099"/>
    <w:rsid w:val="003A215B"/>
    <w:rsid w:val="003C213C"/>
    <w:rsid w:val="003F1E61"/>
    <w:rsid w:val="00416AC4"/>
    <w:rsid w:val="0043225C"/>
    <w:rsid w:val="0046326A"/>
    <w:rsid w:val="00556D05"/>
    <w:rsid w:val="00586326"/>
    <w:rsid w:val="005938E2"/>
    <w:rsid w:val="00595BA3"/>
    <w:rsid w:val="006D643F"/>
    <w:rsid w:val="00761113"/>
    <w:rsid w:val="00807310"/>
    <w:rsid w:val="008D3A4C"/>
    <w:rsid w:val="009D0666"/>
    <w:rsid w:val="009D1F74"/>
    <w:rsid w:val="00AB5DD7"/>
    <w:rsid w:val="00B220C6"/>
    <w:rsid w:val="00B43A01"/>
    <w:rsid w:val="00B47462"/>
    <w:rsid w:val="00B92F8C"/>
    <w:rsid w:val="00C33F9C"/>
    <w:rsid w:val="00EC4C8D"/>
    <w:rsid w:val="17261029"/>
    <w:rsid w:val="1DB1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character" w:customStyle="1" w:styleId="9">
    <w:name w:val="Unresolved Mention"/>
    <w:basedOn w:val="5"/>
    <w:semiHidden/>
    <w:unhideWhenUsed/>
    <w:uiPriority w:val="99"/>
    <w:rPr>
      <w:color w:val="605E5C"/>
      <w:shd w:val="clear" w:color="auto" w:fill="E1DFDD"/>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283</Words>
  <Characters>1617</Characters>
  <Lines>13</Lines>
  <Paragraphs>3</Paragraphs>
  <TotalTime>1</TotalTime>
  <ScaleCrop>false</ScaleCrop>
  <LinksUpToDate>false</LinksUpToDate>
  <CharactersWithSpaces>1897</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cw0851</cp:lastModifiedBy>
  <dcterms:modified xsi:type="dcterms:W3CDTF">2021-12-22T02:49:24Z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