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81040510</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杨日昌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15575833634、13552936586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cryhero@foxmail.com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湖南涉外经济学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汉语言文学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扬子江（北京）投资有限公司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总经理助理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10年二级市场投资经验；</w:t>
            </w:r>
          </w:p>
          <w:p>
            <w:pPr>
              <w:rPr>
                <w:rFonts w:hint="eastAsia" w:ascii="宋体" w:hAnsi="宋体" w:eastAsia="宋体"/>
                <w:sz w:val="24"/>
                <w:lang w:val="en-US" w:eastAsia="zh-CN"/>
              </w:rPr>
            </w:pPr>
            <w:r>
              <w:rPr>
                <w:rFonts w:hint="eastAsia" w:ascii="宋体" w:hAnsi="宋体" w:eastAsia="宋体"/>
                <w:sz w:val="24"/>
                <w:lang w:val="en-US" w:eastAsia="zh-CN"/>
              </w:rPr>
              <w:t>2年证券从业经验；</w:t>
            </w:r>
          </w:p>
          <w:p>
            <w:pPr>
              <w:rPr>
                <w:rFonts w:hint="default" w:ascii="宋体" w:hAnsi="宋体" w:eastAsia="宋体"/>
                <w:sz w:val="24"/>
                <w:lang w:val="en-US" w:eastAsia="zh-CN"/>
              </w:rPr>
            </w:pPr>
            <w:r>
              <w:rPr>
                <w:rFonts w:hint="eastAsia" w:ascii="宋体" w:hAnsi="宋体" w:eastAsia="宋体"/>
                <w:sz w:val="24"/>
                <w:lang w:val="en-US" w:eastAsia="zh-CN"/>
              </w:rPr>
              <w:t>3年财经传媒、公关经验。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MOBA游戏中参赛队员是否选择假赛的博弈策略研究及监管办法探讨</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bookmarkStart w:id="0" w:name="_GoBack"/>
      <w:bookmarkEnd w:id="0"/>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17BF7223"/>
    <w:rsid w:val="1B054A07"/>
    <w:rsid w:val="4EB30DFC"/>
    <w:rsid w:val="74D10DA5"/>
    <w:rsid w:val="A9DB232F"/>
    <w:rsid w:val="B76B4705"/>
    <w:rsid w:val="BFFF879D"/>
    <w:rsid w:val="EFE5F2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44</Words>
  <Characters>253</Characters>
  <Lines>2</Lines>
  <Paragraphs>1</Paragraphs>
  <TotalTime>27</TotalTime>
  <ScaleCrop>false</ScaleCrop>
  <LinksUpToDate>false</LinksUpToDate>
  <CharactersWithSpaces>296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2021-01-21T01:57:00Z</dcterms:created>
  <dc:creator>Qi Hang</dc:creator>
  <cp:lastModifiedBy>Richard</cp:lastModifiedBy>
  <dcterms:modified xsi:type="dcterms:W3CDTF">2021-12-23T18:37:08Z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