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81041240</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杨菲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南京</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13382054767</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278201602@qq.com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中国传媒大学南广学院</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文化产业管理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江苏省海亚贸易有限公司</w:t>
            </w: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jc w:val="left"/>
              <w:rPr>
                <w:rFonts w:hint="default" w:ascii="宋体" w:hAnsi="宋体" w:eastAsia="宋体"/>
                <w:sz w:val="24"/>
                <w:lang w:val="en-US" w:eastAsia="zh-CN"/>
              </w:rPr>
            </w:pPr>
            <w:r>
              <w:rPr>
                <w:rFonts w:hint="eastAsia" w:ascii="宋体" w:hAnsi="宋体" w:eastAsia="宋体"/>
                <w:sz w:val="24"/>
                <w:lang w:val="en-US" w:eastAsia="zh-CN"/>
              </w:rPr>
              <w:t>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本人今年35岁，2009年6月毕业于中国传媒大学文化产业管理专业，至今已工作12年，就职于江苏省供销合作社直属单位资产管理部，负责资产运营管理工作。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科研成果</w:t>
            </w:r>
          </w:p>
        </w:tc>
        <w:tc>
          <w:tcPr>
            <w:tcW w:w="102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暂未</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bookmarkStart w:id="0" w:name="_GoBack"/>
            <w:bookmarkEnd w:id="0"/>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495"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418"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7151" w:type="dxa"/>
            <w:gridSpan w:val="8"/>
            <w:vAlign w:val="center"/>
          </w:tcPr>
          <w:p>
            <w:pPr>
              <w:rPr>
                <w:rFonts w:ascii="宋体" w:hAnsi="宋体" w:eastAsia="宋体"/>
                <w:sz w:val="24"/>
              </w:rPr>
            </w:pPr>
            <w:r>
              <w:rPr>
                <w:rFonts w:hint="eastAsia" w:ascii="宋体" w:hAnsi="宋体" w:eastAsia="宋体"/>
                <w:sz w:val="24"/>
              </w:rPr>
              <w:t>风险管理视域下C企业融资租赁风险评价研究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E0B4F6A"/>
    <w:rsid w:val="7DD6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58</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木易菲</cp:lastModifiedBy>
  <dcterms:modified xsi:type="dcterms:W3CDTF">2021-12-22T08:59:41Z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106F8EC3556A446CB04E63899A489CEE</vt:lpwstr>
  </property>
</Properties>
</file>