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91040788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李慧文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eastAsia="zh-CN"/>
              </w:rPr>
              <w:t>上海市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企业经济学</w:t>
            </w: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18810605083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katy_lhw@163.com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中央财经大学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法学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上海朴珺投资管理有限公司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投资经理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2015.6至至今    上海朴珺投资管理有限公司  固定收益部信评                                       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1.协助投资经理，参与制作公司内部债券投资的信用评价框架和制度，构建信用债投资组合。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.精准择时判断市场信用债的大转向，在2016年秋季评测钢铁、煤炭、水泥等周期行业产业债券，在行业低潮时期通过建议保留相关债券，避免低卖损失。在2018年去杠杆后成功把握了短久期弱势城投的投资洼地价值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.及时关注一级债券发行情况和二级市场出现的合适投资机会，在民企违约潮和城投信用分化前成功筛查并识别华信集团、雏鹰农牧、康美药业、三胞集团、庞大汽贸等民企和湖南地区、四川部分区县平台信用转向的风险，避免上述主体债券进入投资组合带来损失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4.跟踪持仓报告，撰写持仓债券的内部评级报告，完成各类主体报告百余篇，基础研究过百发债主体。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管理产品“朴珺投资-花开富贵债基1号”在2019年债券策略基金业绩排行榜中名列第8位，年均化收益为35%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管理产品“朴珺债基2号”在20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年年化收益约为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70%，获得WIND私募债基产品五星评级。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永煤集团债券违约成因及展期处置案例分析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永煤集团债券违约成因及展期处置案例分析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348110F"/>
    <w:rsid w:val="38913ED9"/>
    <w:rsid w:val="6DB462D3"/>
    <w:rsid w:val="74E7345C"/>
    <w:rsid w:val="7A9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Li</cp:lastModifiedBy>
  <dcterms:modified xsi:type="dcterms:W3CDTF">2022-01-26T05:35:17Z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E5E63B8E71C546F8BE2187ED5310E15E</vt:lpwstr>
  </property>
</Properties>
</file>