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81040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295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赵学松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企业经济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15201667834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075796855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山东理工大学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电子信息科学与技术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北京三快在线科技有限公司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简介：喜欢历史，热衷于去不同的地方旅行，见不同的人，聊有趣的事。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工作经历：自本科毕业后一直从事互联网产品经理工作，先后任职于360、美团，目前在美团做数据产品经理。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环境规制对区域经济发展质量的影响分析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44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投资与创业杂志，主办单位：黑龙江省生产力学会</w:t>
            </w:r>
          </w:p>
          <w:p>
            <w:pPr>
              <w:spacing w:line="44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出版周期：半月</w:t>
            </w:r>
          </w:p>
          <w:p>
            <w:pPr>
              <w:spacing w:line="44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ISSN：1672-3414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CN：23-1517/F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44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摘要：</w:t>
            </w:r>
            <w:r>
              <w:rPr>
                <w:rFonts w:hint="eastAsia" w:ascii="宋体" w:hAnsi="宋体" w:cs="宋体"/>
                <w:sz w:val="24"/>
                <w:szCs w:val="24"/>
              </w:rPr>
              <w:t>本文首先分析了我国环境污染现状和环境规制的特点，然后主要论述了区域经济发展质量受环境规制的影响情况，并提出了基于区域经济发展质量对环境规制的建议，希望可以为相关人员提供一定的参考。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关键词：</w:t>
            </w:r>
            <w:r>
              <w:rPr>
                <w:rFonts w:hint="eastAsia" w:ascii="宋体" w:hAnsi="宋体" w:cs="宋体"/>
                <w:sz w:val="24"/>
                <w:szCs w:val="24"/>
              </w:rPr>
              <w:t>经济发展；发展质量；环境规制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企业成本结构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</w:rPr>
              <w:t>税收结构政策的不确定性对企业成本结构的影响研究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84E09C1"/>
    <w:rsid w:val="1FDB9450"/>
    <w:rsid w:val="382E4D8D"/>
    <w:rsid w:val="3F451F4F"/>
    <w:rsid w:val="4E4944E5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243</Words>
  <Characters>276</Characters>
  <Lines>2</Lines>
  <Paragraphs>1</Paragraphs>
  <TotalTime>0</TotalTime>
  <ScaleCrop>false</ScaleCrop>
  <LinksUpToDate>false</LinksUpToDate>
  <CharactersWithSpaces>282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10757</cp:lastModifiedBy>
  <dcterms:modified xsi:type="dcterms:W3CDTF">2021-12-25T09:51:28Z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FE8BB93AC2AF4F53AB2C192C482F60A7</vt:lpwstr>
  </property>
</Properties>
</file>