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71040228</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姜洪亮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eastAsia="zh-CN"/>
              </w:rPr>
            </w:pPr>
            <w:r>
              <w:rPr>
                <w:rFonts w:hint="eastAsia" w:ascii="宋体" w:hAnsi="宋体" w:eastAsia="宋体"/>
                <w:color w:val="000000" w:themeColor="text1"/>
                <w:sz w:val="24"/>
                <w:lang w:val="en-US" w:eastAsia="zh-CN"/>
                <w14:textFill>
                  <w14:solidFill>
                    <w14:schemeClr w14:val="tx1"/>
                  </w14:solidFill>
                </w14:textFill>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13811401747</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771777894@qq.com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黑龙江科技大学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机械设计制造及其自动化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多弗国际控股集团</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融资总监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3"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2014.07-2020.09  包商银行总行房地产金融事业部  高级客户经理</w:t>
            </w:r>
          </w:p>
          <w:p>
            <w:pPr>
              <w:rPr>
                <w:rFonts w:hint="default" w:ascii="宋体" w:hAnsi="宋体" w:eastAsia="宋体"/>
                <w:sz w:val="24"/>
                <w:lang w:val="en-US" w:eastAsia="zh-CN"/>
              </w:rPr>
            </w:pPr>
            <w:r>
              <w:rPr>
                <w:rFonts w:hint="eastAsia" w:ascii="宋体" w:hAnsi="宋体" w:eastAsia="宋体"/>
                <w:sz w:val="24"/>
                <w:lang w:val="en-US" w:eastAsia="zh-CN"/>
              </w:rPr>
              <w:t>2020.09-2021.10  深圳市宝能投资集团有限公司    融资副总监</w:t>
            </w:r>
          </w:p>
          <w:p>
            <w:pPr>
              <w:rPr>
                <w:rFonts w:hint="default" w:ascii="宋体" w:hAnsi="宋体" w:eastAsia="宋体"/>
                <w:sz w:val="24"/>
                <w:lang w:val="en-US" w:eastAsia="zh-CN"/>
              </w:rPr>
            </w:pPr>
            <w:r>
              <w:rPr>
                <w:rFonts w:hint="eastAsia" w:ascii="宋体" w:hAnsi="宋体" w:eastAsia="宋体"/>
                <w:sz w:val="24"/>
                <w:lang w:val="en-US" w:eastAsia="zh-CN"/>
              </w:rPr>
              <w:t>2021.10-至今     多弗国际控股集团有限公司      融资总监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ascii="宋体" w:hAnsi="宋体" w:eastAsia="宋体"/>
                <w:sz w:val="24"/>
              </w:rPr>
            </w:pPr>
            <w:r>
              <w:rPr>
                <w:rFonts w:hint="eastAsia" w:ascii="宋体" w:hAnsi="宋体" w:eastAsia="宋体"/>
                <w:color w:val="000000" w:themeColor="text1"/>
                <w:sz w:val="24"/>
                <w14:textFill>
                  <w14:solidFill>
                    <w14:schemeClr w14:val="tx1"/>
                  </w14:solidFill>
                </w14:textFill>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ascii="宋体" w:hAnsi="宋体" w:eastAsia="宋体"/>
                <w:sz w:val="24"/>
              </w:rPr>
            </w:pPr>
            <w:r>
              <w:rPr>
                <w:rFonts w:hint="eastAsia" w:ascii="宋体" w:hAnsi="宋体" w:eastAsia="宋体"/>
                <w:color w:val="000000" w:themeColor="text1"/>
                <w:sz w:val="24"/>
                <w14:textFill>
                  <w14:solidFill>
                    <w14:schemeClr w14:val="tx1"/>
                  </w14:solidFill>
                </w14:textFill>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eastAsia" w:ascii="宋体" w:hAnsi="宋体" w:eastAsia="宋体"/>
                <w:sz w:val="24"/>
                <w:lang w:eastAsia="zh-CN"/>
              </w:rPr>
            </w:pPr>
            <w:r>
              <w:rPr>
                <w:rFonts w:hint="eastAsia" w:ascii="宋体" w:hAnsi="宋体" w:eastAsia="宋体" w:cs="宋体"/>
                <w:sz w:val="24"/>
                <w:szCs w:val="24"/>
                <w:lang w:eastAsia="zh-CN"/>
              </w:rPr>
              <w:t>《</w:t>
            </w:r>
            <w:r>
              <w:rPr>
                <w:rFonts w:ascii="宋体" w:hAnsi="宋体" w:eastAsia="宋体" w:cs="宋体"/>
                <w:sz w:val="24"/>
                <w:szCs w:val="24"/>
              </w:rPr>
              <w:t>资产证券化对商业银行的流动性影响</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商品与质量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针对资产证券化的发展历程以及资产证券化对商业银行流动性的积极影响进行了分析研究，并提出了相应的启示建议，以便能够有效缓解商业银行面临的信贷风险，推动银行经营管理的长效建设。</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spacing w:line="360" w:lineRule="auto"/>
              <w:rPr>
                <w:rFonts w:ascii="宋体" w:hAnsi="宋体" w:eastAsia="宋体"/>
                <w:sz w:val="24"/>
              </w:rPr>
            </w:pPr>
            <w:r>
              <w:rPr>
                <w:rFonts w:hint="eastAsia" w:ascii="宋体" w:hAnsi="宋体" w:eastAsia="宋体"/>
                <w:sz w:val="24"/>
              </w:rPr>
              <w:t>第三方支付</w:t>
            </w:r>
            <w:r>
              <w:rPr>
                <w:rFonts w:hint="eastAsia" w:ascii="宋体" w:hAnsi="宋体" w:eastAsia="宋体" w:cs="宋体"/>
                <w:b w:val="0"/>
                <w:bCs w:val="0"/>
                <w:sz w:val="24"/>
                <w:szCs w:val="24"/>
                <w:lang w:val="en-US" w:eastAsia="zh-CN"/>
              </w:rPr>
              <w:t>；</w:t>
            </w:r>
            <w:r>
              <w:rPr>
                <w:rFonts w:hint="eastAsia" w:ascii="宋体" w:hAnsi="宋体" w:eastAsia="宋体"/>
                <w:sz w:val="24"/>
              </w:rPr>
              <w:t>商业银行</w:t>
            </w:r>
            <w:r>
              <w:rPr>
                <w:rFonts w:hint="eastAsia" w:ascii="宋体" w:hAnsi="宋体" w:eastAsia="宋体" w:cs="宋体"/>
                <w:b w:val="0"/>
                <w:bCs w:val="0"/>
                <w:sz w:val="24"/>
                <w:szCs w:val="24"/>
                <w:lang w:val="en-US" w:eastAsia="zh-CN"/>
              </w:rPr>
              <w:t>；</w:t>
            </w:r>
            <w:r>
              <w:rPr>
                <w:rFonts w:hint="eastAsia" w:ascii="宋体" w:hAnsi="宋体" w:eastAsia="宋体"/>
                <w:sz w:val="24"/>
              </w:rPr>
              <w:t>盈利性</w:t>
            </w:r>
            <w:r>
              <w:rPr>
                <w:rFonts w:hint="eastAsia" w:ascii="宋体" w:hAnsi="宋体" w:eastAsia="宋体" w:cs="宋体"/>
                <w:b w:val="0"/>
                <w:bCs w:val="0"/>
                <w:sz w:val="24"/>
                <w:szCs w:val="24"/>
                <w:lang w:val="en-US" w:eastAsia="zh-CN"/>
              </w:rPr>
              <w:t>；</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eastAsia="zh-CN"/>
              </w:rPr>
              <w:t>《</w:t>
            </w:r>
            <w:r>
              <w:rPr>
                <w:rFonts w:hint="eastAsia" w:ascii="宋体" w:hAnsi="宋体" w:eastAsia="宋体"/>
                <w:sz w:val="24"/>
              </w:rPr>
              <w:t>第三方支付对商业银行盈利性的影响</w:t>
            </w:r>
            <w:r>
              <w:rPr>
                <w:rFonts w:hint="eastAsia" w:ascii="宋体" w:hAnsi="宋体" w:eastAsia="宋体"/>
                <w:sz w:val="24"/>
                <w:lang w:eastAsia="zh-CN"/>
              </w:rPr>
              <w:t>》</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EA039FB"/>
    <w:rsid w:val="18E4466E"/>
    <w:rsid w:val="22552F34"/>
    <w:rsid w:val="23703EEC"/>
    <w:rsid w:val="274314EB"/>
    <w:rsid w:val="28C3509B"/>
    <w:rsid w:val="2ACE4023"/>
    <w:rsid w:val="358B23EF"/>
    <w:rsid w:val="375E6C61"/>
    <w:rsid w:val="38F4304F"/>
    <w:rsid w:val="3A8258AE"/>
    <w:rsid w:val="4BBD2EEE"/>
    <w:rsid w:val="51301C00"/>
    <w:rsid w:val="54983E0F"/>
    <w:rsid w:val="54B468B8"/>
    <w:rsid w:val="5E1C667C"/>
    <w:rsid w:val="5FDD6289"/>
    <w:rsid w:val="6093402D"/>
    <w:rsid w:val="61F71336"/>
    <w:rsid w:val="649975E8"/>
    <w:rsid w:val="70944C8B"/>
    <w:rsid w:val="783B0D2C"/>
    <w:rsid w:val="7C4C2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TotalTime>0</TotalTime>
  <ScaleCrop>false</ScaleCrop>
  <LinksUpToDate>false</LinksUpToDate>
  <CharactersWithSpaces>287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姜洪亮</cp:lastModifiedBy>
  <dcterms:modified xsi:type="dcterms:W3CDTF">2021-12-23T06:55:00Z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A85B278EE88A4B92A3AE68416270AA7D</vt:lpwstr>
  </property>
</Properties>
</file>