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刘延辉</w:t>
      </w:r>
      <w:r>
        <w:rPr>
          <w:rFonts w:ascii="宋体" w:hAnsi="宋体" w:eastAsia="宋体"/>
          <w:sz w:val="32"/>
          <w:szCs w:val="32"/>
          <w:u w:val="single"/>
        </w:rPr>
        <w:t xml:space="preserve"> </w:t>
      </w:r>
      <w:r>
        <w:rPr>
          <w:rFonts w:hint="eastAsia" w:ascii="宋体" w:hAnsi="宋体" w:eastAsia="宋体"/>
          <w:sz w:val="32"/>
          <w:szCs w:val="32"/>
          <w:u w:val="single"/>
          <w:lang w:val="en-US" w:eastAsia="zh-CN"/>
        </w:rPr>
        <w:t xml:space="preserve">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71040685</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西方经济学</w:t>
      </w:r>
      <w:r>
        <w:rPr>
          <w:rFonts w:ascii="宋体" w:hAnsi="宋体" w:eastAsia="宋体"/>
          <w:sz w:val="32"/>
          <w:szCs w:val="32"/>
          <w:u w:val="single"/>
        </w:rPr>
        <w:t xml:space="preserve">   </w:t>
      </w:r>
    </w:p>
    <w:p>
      <w:pPr>
        <w:spacing w:line="720" w:lineRule="auto"/>
        <w:ind w:firstLine="1280" w:firstLineChars="400"/>
        <w:rPr>
          <w:rFonts w:ascii="宋体" w:hAnsi="宋体" w:eastAsia="宋体"/>
          <w:sz w:val="32"/>
          <w:szCs w:val="32"/>
        </w:rPr>
      </w:pPr>
      <w:r>
        <w:rPr>
          <w:rFonts w:hint="eastAsia" w:ascii="宋体" w:hAnsi="宋体" w:eastAsia="宋体"/>
          <w:sz w:val="32"/>
          <w:szCs w:val="32"/>
        </w:rPr>
        <w:t>拟定学位论文题目：</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实施新保险合同准则对寿险公司利润的影响</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2021.12.31</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vAlign w:val="center"/>
          </w:tcPr>
          <w:p>
            <w:pPr>
              <w:jc w:val="both"/>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jc w:val="both"/>
              <w:rPr>
                <w:rFonts w:ascii="宋体" w:hAnsi="宋体" w:eastAsia="宋体"/>
                <w:sz w:val="24"/>
                <w:szCs w:val="24"/>
              </w:rPr>
            </w:pPr>
          </w:p>
          <w:p>
            <w:pPr>
              <w:jc w:val="both"/>
              <w:rPr>
                <w:rFonts w:ascii="宋体" w:hAnsi="宋体" w:eastAsia="宋体"/>
                <w:sz w:val="24"/>
                <w:szCs w:val="24"/>
              </w:rPr>
            </w:pPr>
          </w:p>
          <w:p>
            <w:pPr>
              <w:ind w:firstLine="480" w:firstLineChars="200"/>
              <w:jc w:val="both"/>
              <w:rPr>
                <w:rFonts w:hint="eastAsia" w:ascii="宋体" w:hAnsi="宋体" w:eastAsia="宋体" w:cs="宋体"/>
                <w:sz w:val="24"/>
                <w:szCs w:val="24"/>
              </w:rPr>
            </w:pPr>
            <w:r>
              <w:rPr>
                <w:rFonts w:hint="eastAsia" w:ascii="宋体" w:hAnsi="宋体" w:eastAsia="宋体" w:cs="宋体"/>
                <w:sz w:val="24"/>
                <w:szCs w:val="24"/>
              </w:rPr>
              <w:t>IFRS17，英文全称《International Financial Reporting Standards 17 - Insurance Contracts》，中文全称《国际财务报告准则第17号 - 保险合同》，是国际会计准则理事会(IASB)发布的全新保险会计准则，以替换现行全球保险业普遍参考适用的IFRS4。</w:t>
            </w:r>
          </w:p>
          <w:p>
            <w:pPr>
              <w:jc w:val="both"/>
              <w:rPr>
                <w:rFonts w:hint="eastAsia" w:ascii="宋体" w:hAnsi="宋体" w:eastAsia="宋体" w:cs="宋体"/>
                <w:sz w:val="24"/>
                <w:szCs w:val="24"/>
              </w:rPr>
            </w:pPr>
            <w:r>
              <w:rPr>
                <w:rFonts w:hint="eastAsia" w:ascii="宋体" w:hAnsi="宋体" w:eastAsia="宋体" w:cs="宋体"/>
                <w:sz w:val="24"/>
                <w:szCs w:val="24"/>
              </w:rPr>
              <w:t>IFRS17是国际保险会计准则又一次重大改革，IASB为之历经20年探索，并于2017年5月正式发布。</w:t>
            </w:r>
            <w:r>
              <w:rPr>
                <w:rFonts w:hint="eastAsia" w:ascii="宋体" w:hAnsi="宋体" w:eastAsia="宋体" w:cs="宋体"/>
                <w:sz w:val="24"/>
                <w:szCs w:val="24"/>
                <w:lang w:val="en-US" w:eastAsia="zh-CN"/>
              </w:rPr>
              <w:t>我国</w:t>
            </w:r>
            <w:r>
              <w:rPr>
                <w:rFonts w:hint="eastAsia" w:ascii="宋体" w:hAnsi="宋体" w:eastAsia="宋体" w:cs="宋体"/>
                <w:sz w:val="24"/>
                <w:szCs w:val="24"/>
              </w:rPr>
              <w:t>财政部会计司自2018年初启动了对保险合同准则的修订项目，在经过一系列的研究、测试之后于2020年12月发布终稿。</w:t>
            </w:r>
          </w:p>
          <w:p>
            <w:pPr>
              <w:ind w:firstLine="480" w:firstLineChars="200"/>
              <w:jc w:val="both"/>
              <w:rPr>
                <w:rFonts w:hint="eastAsia" w:ascii="宋体" w:hAnsi="宋体" w:eastAsia="宋体" w:cs="宋体"/>
                <w:sz w:val="24"/>
                <w:szCs w:val="24"/>
              </w:rPr>
            </w:pPr>
            <w:r>
              <w:rPr>
                <w:rFonts w:hint="eastAsia" w:ascii="宋体" w:hAnsi="宋体" w:eastAsia="宋体" w:cs="宋体"/>
                <w:sz w:val="24"/>
                <w:szCs w:val="24"/>
              </w:rPr>
              <mc:AlternateContent>
                <mc:Choice Requires="wps">
                  <w:drawing>
                    <wp:anchor distT="0" distB="0" distL="114300" distR="114300" simplePos="0" relativeHeight="15734784" behindDoc="0" locked="0" layoutInCell="1" allowOverlap="1">
                      <wp:simplePos x="0" y="0"/>
                      <wp:positionH relativeFrom="page">
                        <wp:posOffset>3416935</wp:posOffset>
                      </wp:positionH>
                      <wp:positionV relativeFrom="paragraph">
                        <wp:posOffset>334010</wp:posOffset>
                      </wp:positionV>
                      <wp:extent cx="127635" cy="7683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27635" cy="76835"/>
                              </a:xfrm>
                              <a:prstGeom prst="rect">
                                <a:avLst/>
                              </a:prstGeom>
                              <a:noFill/>
                              <a:ln>
                                <a:noFill/>
                              </a:ln>
                            </wps:spPr>
                            <wps:txbx>
                              <w:txbxContent>
                                <w:p>
                                  <w:pPr>
                                    <w:spacing w:before="0" w:line="200" w:lineRule="exact"/>
                                    <w:ind w:left="20" w:right="0" w:firstLine="0"/>
                                    <w:jc w:val="left"/>
                                    <w:rPr>
                                      <w:sz w:val="16"/>
                                    </w:rPr>
                                  </w:pPr>
                                  <w:r>
                                    <w:rPr>
                                      <w:color w:val="0E0E0E"/>
                                      <w:w w:val="100"/>
                                      <w:sz w:val="16"/>
                                    </w:rPr>
                                    <w:t>1</w:t>
                                  </w:r>
                                </w:p>
                              </w:txbxContent>
                            </wps:txbx>
                            <wps:bodyPr vert="vert" lIns="0" tIns="0" rIns="0" bIns="0" upright="1"/>
                          </wps:wsp>
                        </a:graphicData>
                      </a:graphic>
                    </wp:anchor>
                  </w:drawing>
                </mc:Choice>
                <mc:Fallback>
                  <w:pict>
                    <v:shape id="_x0000_s1026" o:spid="_x0000_s1026" o:spt="202" type="#_x0000_t202" style="position:absolute;left:0pt;margin-left:269.05pt;margin-top:26.3pt;height:6.05pt;width:10.05pt;mso-position-horizontal-relative:page;z-index:15734784;mso-width-relative:page;mso-height-relative:page;" filled="f" stroked="f" coordsize="21600,21600" o:gfxdata="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CLhQ4vaAAAACQEAAA8A&#10;AAAAAAAAAQAgAAAAIgAAAGRycy9kb3ducmV2LnhtbFBLAQIUABQAAAAIAIdO4kBED4oRowEAAC4D&#10;AAAOAAAAAAAAAAEAIAAAACkBAABkcnMvZTJvRG9jLnhtbFBLBQYAAAAABgAGAFkBAAA+BQAAAAA=&#10;">
                      <v:fill on="f" focussize="0,0"/>
                      <v:stroke on="f"/>
                      <v:imagedata o:title=""/>
                      <o:lock v:ext="edit" aspectratio="f"/>
                      <v:textbox inset="0mm,0mm,0mm,0mm" style="layout-flow:vertical;">
                        <w:txbxContent>
                          <w:p>
                            <w:pPr>
                              <w:spacing w:before="0" w:line="200" w:lineRule="exact"/>
                              <w:ind w:left="20" w:right="0" w:firstLine="0"/>
                              <w:jc w:val="left"/>
                              <w:rPr>
                                <w:sz w:val="16"/>
                              </w:rPr>
                            </w:pPr>
                            <w:r>
                              <w:rPr>
                                <w:color w:val="0E0E0E"/>
                                <w:w w:val="100"/>
                                <w:sz w:val="16"/>
                              </w:rPr>
                              <w:t>1</w:t>
                            </w:r>
                          </w:p>
                        </w:txbxContent>
                      </v:textbox>
                    </v:shape>
                  </w:pict>
                </mc:Fallback>
              </mc:AlternateContent>
            </w:r>
            <w:r>
              <w:rPr>
                <w:rFonts w:hint="eastAsia" w:ascii="宋体" w:hAnsi="宋体" w:eastAsia="宋体" w:cs="宋体"/>
                <w:sz w:val="24"/>
                <w:szCs w:val="24"/>
              </w:rPr>
              <w:t>IFRS17从保险合同的确认、保险负债评估模型以及报表列报等多个方面都进行了一定程度的完善，这对所有签发保险合同的主体或具有相应分红特征合同的主体都有着实质性的改变，保险合同确认的改变会直接影响到利润表最终利润的体现，负债评估模型的变更对保险公司资产负债表的递延型产生强烈的变化，这不止体现在公司的财务报表的管理上，其高度的复杂性会使得保险公司原组织架构及工作流程都不能适应新准则的实施，对保险公司的工作流程的梳理，各业务部门的分工以及保险信息系统规则的调整都提出了重大要求，所以尽早的了解以及分析新保险准则对我国保险业的影响至关重要，因此深入研究 I FRS17的计量模式，同时与我国目前会计准则对保险行业规定的计量标准进行对比分析是目前我国保险公司实施 IFRS17的工作重点。</w:t>
            </w:r>
          </w:p>
          <w:p>
            <w:pPr>
              <w:ind w:firstLine="480" w:firstLineChars="200"/>
              <w:jc w:val="both"/>
              <w:rPr>
                <w:rFonts w:hint="eastAsia" w:ascii="宋体" w:hAnsi="宋体" w:eastAsia="宋体" w:cs="宋体"/>
                <w:sz w:val="24"/>
                <w:szCs w:val="24"/>
                <w:lang w:eastAsia="zh-CN"/>
              </w:rPr>
            </w:pPr>
            <w:r>
              <w:rPr>
                <w:rFonts w:hint="eastAsia" w:ascii="宋体" w:hAnsi="宋体" w:eastAsia="宋体" w:cs="宋体"/>
                <w:sz w:val="24"/>
                <w:szCs w:val="24"/>
              </w:rPr>
              <w:t>IFRS17涉及保险合同及再保合同的计量方式，主要包含了合同的确认、拆分和分组的内容。新保险准则还涉及到保险准备金计量的变化，主要包含了负债模型选择的内容。同时涉及到报表列示的变化，主要包含利润表的变动、综合收益表的内容等。新保险准则的修订将准备金项目拆分，明细到保险收入里，使得保险公司的利润来源更加清晰</w:t>
            </w:r>
            <w:r>
              <w:rPr>
                <w:rFonts w:hint="eastAsia" w:ascii="宋体" w:hAnsi="宋体" w:eastAsia="宋体" w:cs="宋体"/>
                <w:sz w:val="24"/>
                <w:szCs w:val="24"/>
                <w:lang w:eastAsia="zh-CN"/>
              </w:rPr>
              <w:t>。</w:t>
            </w:r>
          </w:p>
          <w:p>
            <w:pPr>
              <w:ind w:firstLine="480" w:firstLineChars="200"/>
              <w:jc w:val="both"/>
              <w:rPr>
                <w:rFonts w:ascii="宋体" w:hAnsi="宋体" w:eastAsia="宋体"/>
                <w:sz w:val="24"/>
                <w:szCs w:val="24"/>
              </w:rPr>
            </w:pPr>
            <w:r>
              <w:rPr>
                <w:rFonts w:hint="eastAsia" w:ascii="宋体" w:hAnsi="宋体" w:eastAsia="宋体" w:cs="宋体"/>
                <w:sz w:val="24"/>
                <w:szCs w:val="24"/>
              </w:rPr>
              <w:t>在利润表方面，保险公司的利润表主要分为两部分收入，保险业务收入及投资业务收入，保险业务收入包含保费收入扣除理赔、保险准备金及承保费用后的承保利润，投资业务收入主要是投资产品对应的投资净收益，所以新保险准则实施后的保险产品的设计将直接影响到保险业务收入的确认，同时影响到保险公司的最终利润。</w:t>
            </w:r>
          </w:p>
        </w:tc>
      </w:tr>
    </w:tbl>
    <w:p>
      <w:pPr>
        <w:rPr>
          <w:rFonts w:ascii="宋体" w:hAnsi="宋体" w:eastAsia="宋体"/>
          <w:sz w:val="32"/>
          <w:szCs w:val="3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numPr>
                <w:ilvl w:val="0"/>
                <w:numId w:val="1"/>
              </w:numPr>
              <w:rPr>
                <w:rFonts w:hint="eastAsia" w:ascii="宋体" w:hAnsi="宋体" w:eastAsia="宋体"/>
                <w:color w:val="FF0000"/>
                <w:sz w:val="24"/>
                <w:szCs w:val="24"/>
              </w:rPr>
            </w:pP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numPr>
                <w:ilvl w:val="0"/>
                <w:numId w:val="0"/>
              </w:numPr>
              <w:rPr>
                <w:rFonts w:hint="eastAsia" w:ascii="宋体" w:hAnsi="宋体" w:eastAsia="宋体"/>
                <w:color w:val="FF0000"/>
                <w:sz w:val="24"/>
                <w:szCs w:val="24"/>
              </w:rPr>
            </w:pPr>
          </w:p>
          <w:p>
            <w:pPr>
              <w:numPr>
                <w:ilvl w:val="0"/>
                <w:numId w:val="0"/>
              </w:numPr>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在各国保险会计实践中，通常适用的会计准则是针对保险行业而并非保险合 同。比如中国在2007年《企业会计准则》实施之前采用的《保险公司会计制度》和《金融企业会计制度》（许闲， 2017) 、德国的《保险公司会 计条例》、美国的财务会计准则公告 SFAS 第 60 号《保险企业会计与财务报告》。由于I ASB 的目标是致力于制定适用于全球所有行业的会计准则， 因此 IFRS 框架下的保险会计一直是针对保险合同，而并非针对保险机构。由于欧盟决定在2005 年针对所有上市公司采用IFRS, 因此 IASB 在 2003 年7 月所推出的第 5 号征求意见稿(ED5)（李荣林 ， 2004) , 2004 年 3 月仓促颁布了《国际财务报告准则第 4 号—保险合同》 (I FRS4) ，并将保险合同会计准则的制定分为两个阶段。IFRS4 是国际财务报告准则关于保险合同的第 一阶段成果，重点对保险合同定义、保险合同确认与计量的最低要求、保险合同信息披露等做出探索性规定(IASB, 2004) 。尽管I FRS4 并未对保险资产与保险负债等具体的计量方法做明确规定 ， 实践中仍允许各国继续采用原来的会计制度。但是IFRS4 的执行仍然影响着具体保险合同业务的会计确认与计量，进而影响到财务报告及公司经营业绩的表现。保险合同会计还引起保险公司产品设计和保险资金运用等深层次的经营管理行为 。</w:t>
            </w:r>
          </w:p>
          <w:p>
            <w:pPr>
              <w:numPr>
                <w:ilvl w:val="0"/>
                <w:numId w:val="0"/>
              </w:numPr>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IASB 于 2004 年 9 月开始 IFRS 保险合同第二阶段的讨论与研究 ， 并于 2007</w:t>
            </w:r>
          </w:p>
          <w:p>
            <w:pPr>
              <w:numPr>
                <w:ilvl w:val="0"/>
                <w:numId w:val="0"/>
              </w:numPr>
              <w:rPr>
                <w:rFonts w:hint="eastAsia" w:ascii="宋体" w:hAnsi="宋体" w:eastAsia="宋体" w:cs="宋体"/>
                <w:color w:val="auto"/>
                <w:sz w:val="24"/>
                <w:szCs w:val="24"/>
              </w:rPr>
            </w:pPr>
            <w:r>
              <w:rPr>
                <w:rFonts w:hint="eastAsia" w:ascii="宋体" w:hAnsi="宋体" w:eastAsia="宋体" w:cs="宋体"/>
                <w:color w:val="auto"/>
                <w:sz w:val="24"/>
                <w:szCs w:val="24"/>
              </w:rPr>
              <w:t>年 5 月出版《有关保险合同的初步意见》讨论稿 ， 并在 2010 年 7 月第一次发布</w:t>
            </w:r>
          </w:p>
          <w:p>
            <w:pPr>
              <w:numPr>
                <w:ilvl w:val="0"/>
                <w:numId w:val="0"/>
              </w:numPr>
              <w:rPr>
                <w:rFonts w:hint="eastAsia" w:ascii="宋体" w:hAnsi="宋体" w:eastAsia="宋体" w:cs="宋体"/>
                <w:color w:val="auto"/>
                <w:sz w:val="24"/>
                <w:szCs w:val="24"/>
              </w:rPr>
            </w:pPr>
            <w:r>
              <w:rPr>
                <w:rFonts w:hint="eastAsia" w:ascii="宋体" w:hAnsi="宋体" w:eastAsia="宋体" w:cs="宋体"/>
                <w:color w:val="auto"/>
                <w:sz w:val="24"/>
                <w:szCs w:val="24"/>
              </w:rPr>
              <w:t>征求意见稿《ED/ 2010 / 8 保险合同》、2013 年 6 月 20 日第二次发布征求意见稿</w:t>
            </w:r>
          </w:p>
          <w:p>
            <w:pPr>
              <w:numPr>
                <w:ilvl w:val="0"/>
                <w:numId w:val="0"/>
              </w:numPr>
              <w:rPr>
                <w:rFonts w:hint="eastAsia" w:ascii="宋体" w:hAnsi="宋体" w:eastAsia="宋体" w:cs="宋体"/>
                <w:color w:val="auto"/>
                <w:sz w:val="24"/>
                <w:szCs w:val="24"/>
              </w:rPr>
            </w:pPr>
            <w:r>
              <w:rPr>
                <w:rFonts w:hint="eastAsia" w:ascii="宋体" w:hAnsi="宋体" w:eastAsia="宋体" w:cs="宋体"/>
                <w:color w:val="auto"/>
                <w:sz w:val="24"/>
                <w:szCs w:val="24"/>
              </w:rPr>
              <w:t>《ED/ 2013/ 7 保险合同》。IFRS4 第二阶段制定过程中最大的争议在于其建议采用现值计量保险负债，以体现保险合同的市场价值，这对注重审慎经营与递延匹配原则的保险会计 传统构成重大挑战。在两轮征求意见和广泛听取相关会计主体的意见后，IASB 于 2017 年 2 月完成最后阶段修订， 并于 2017 年 5 月 18 日正式发布《国际财务报告准则第 17 号一保险合同》最终版本。 IFRS17 在国际上将于 202 3 年 1 月 1 日开始实施，并取代原来的IFRS4 。中华人民共和国财政部会计司《企业会计准则第 25 号－保险合同》规定，在境内外同时上市的企业以及在境外上市并采用国际财务报告准则或企业会计准则编制财务报表的企业自2023年1月1日起实施，以避免出现境内外报表会计准则适用差异；而其他执行企业会计准则的企业（包括境内上市公司）自2026年1月1日起实施，同时允许企业提前执行。</w:t>
            </w:r>
          </w:p>
          <w:p>
            <w:pPr>
              <w:numPr>
                <w:ilvl w:val="0"/>
                <w:numId w:val="0"/>
              </w:numPr>
              <w:ind w:firstLine="480" w:firstLineChars="200"/>
              <w:rPr>
                <w:rFonts w:hint="eastAsia" w:ascii="宋体" w:hAnsi="宋体" w:eastAsia="宋体" w:cs="宋体"/>
                <w:color w:val="auto"/>
                <w:sz w:val="24"/>
                <w:szCs w:val="24"/>
                <w:lang w:eastAsia="zh-CN"/>
              </w:rPr>
            </w:pPr>
            <w:r>
              <w:rPr>
                <w:rFonts w:hint="eastAsia" w:ascii="宋体" w:hAnsi="宋体" w:eastAsia="宋体" w:cs="宋体"/>
                <w:color w:val="auto"/>
                <w:sz w:val="24"/>
                <w:szCs w:val="24"/>
              </w:rPr>
              <w:t>关于IFRS17 的研究是近几年保险行业及保险学科相关学者研究的热点与重点，郭振华教授在《新保险会计准则 I FRS17 即将带来的重大变革》指出，在新保险准则实施后，保费收入的计量方式将会发生翻转式的变化，直接拆分了准备金的精算假设模式，同时新保险准则报表列示中也直接取消了提取未到期责任准备金及提取未决赔款准备金等项目，使得 IFRS17 下保险利润也产生了根本性的变化</w:t>
            </w:r>
            <w:r>
              <w:rPr>
                <w:rFonts w:hint="eastAsia" w:ascii="宋体" w:hAnsi="宋体" w:eastAsia="宋体" w:cs="宋体"/>
                <w:color w:val="auto"/>
                <w:sz w:val="24"/>
                <w:szCs w:val="24"/>
                <w:lang w:eastAsia="zh-CN"/>
              </w:rPr>
              <w:t>。</w:t>
            </w:r>
          </w:p>
          <w:p>
            <w:pPr>
              <w:numPr>
                <w:ilvl w:val="0"/>
                <w:numId w:val="0"/>
              </w:numPr>
              <w:ind w:firstLine="480" w:firstLineChars="200"/>
              <w:rPr>
                <w:rFonts w:hint="eastAsia" w:ascii="宋体" w:hAnsi="宋体" w:eastAsia="宋体"/>
                <w:color w:val="auto"/>
                <w:sz w:val="24"/>
                <w:szCs w:val="24"/>
              </w:rPr>
            </w:pPr>
            <w:r>
              <w:rPr>
                <w:rFonts w:hint="eastAsia" w:ascii="宋体" w:hAnsi="宋体" w:eastAsia="宋体"/>
                <w:color w:val="auto"/>
                <w:sz w:val="24"/>
                <w:szCs w:val="24"/>
              </w:rPr>
              <w:t>通过梳理关</w:t>
            </w:r>
            <w:r>
              <w:rPr>
                <w:rFonts w:hint="eastAsia" w:ascii="宋体" w:hAnsi="宋体" w:eastAsia="宋体"/>
                <w:color w:val="auto"/>
                <w:sz w:val="24"/>
                <w:szCs w:val="24"/>
                <w:lang w:val="en-US" w:eastAsia="zh-CN"/>
              </w:rPr>
              <w:t>于</w:t>
            </w:r>
            <w:r>
              <w:rPr>
                <w:rFonts w:hint="eastAsia" w:ascii="宋体" w:hAnsi="宋体" w:eastAsia="宋体"/>
                <w:color w:val="auto"/>
                <w:sz w:val="24"/>
                <w:szCs w:val="24"/>
              </w:rPr>
              <w:t xml:space="preserve"> I FRS17 相关研究文献可以发展 ，目前， 国内对</w:t>
            </w:r>
            <w:r>
              <w:rPr>
                <w:rFonts w:hint="eastAsia" w:ascii="宋体" w:hAnsi="宋体" w:eastAsia="宋体"/>
                <w:color w:val="auto"/>
                <w:sz w:val="24"/>
                <w:szCs w:val="24"/>
                <w:lang w:val="en-US" w:eastAsia="zh-CN"/>
              </w:rPr>
              <w:t>于</w:t>
            </w:r>
            <w:r>
              <w:rPr>
                <w:rFonts w:hint="eastAsia" w:ascii="宋体" w:hAnsi="宋体" w:eastAsia="宋体"/>
                <w:color w:val="auto"/>
                <w:sz w:val="24"/>
                <w:szCs w:val="24"/>
              </w:rPr>
              <w:t xml:space="preserve"> IFRS17 的相关研究已经形成了较为成熟的体系， 在 IFRS17 的定义、评估方法、报表列示等方面的研究均取得了一定的成果。国内的学者结合我国保险业发展实际情况，对 比原准则下保险会计核算方式， 可以发现国内学者对 I FRS17 实施的各个方面进行了深入的研究， 对于我国 IFRS1 7 实施有一定的借鉴意义。</w:t>
            </w:r>
          </w:p>
          <w:p>
            <w:pPr>
              <w:numPr>
                <w:ilvl w:val="0"/>
                <w:numId w:val="0"/>
              </w:numPr>
              <w:ind w:firstLine="480" w:firstLineChars="200"/>
              <w:rPr>
                <w:rFonts w:hint="eastAsia" w:ascii="宋体" w:hAnsi="宋体" w:eastAsia="宋体"/>
                <w:color w:val="auto"/>
                <w:sz w:val="24"/>
                <w:szCs w:val="24"/>
              </w:rPr>
            </w:pPr>
            <w:r>
              <w:rPr>
                <w:rFonts w:hint="eastAsia" w:ascii="宋体" w:hAnsi="宋体" w:eastAsia="宋体"/>
                <w:color w:val="auto"/>
                <w:sz w:val="24"/>
                <w:szCs w:val="24"/>
              </w:rPr>
              <w:t>通过分析发现，我国关于新保险会计准则的实施仍有一些问题需要进一步的 深入研究，主要表现在： （1) IFRSl 7 实施对保险公司的影响针对性不强。学者们研究发展影响时缺少对具体利润的计量、负债的计量等针对性的影响分析 ；（2 )影响分析缺乏量化指标。目前现有的关千I FRS17 实施影响的文献中， 多是采用宏观影响的分析，较少通过量化指标进行对比分析的。</w:t>
            </w:r>
          </w:p>
          <w:p>
            <w:pPr>
              <w:numPr>
                <w:ilvl w:val="0"/>
                <w:numId w:val="0"/>
              </w:numPr>
              <w:ind w:firstLine="480" w:firstLineChars="200"/>
              <w:rPr>
                <w:rFonts w:hint="default" w:ascii="宋体" w:hAnsi="宋体" w:eastAsia="宋体"/>
                <w:color w:val="auto"/>
                <w:sz w:val="24"/>
                <w:szCs w:val="24"/>
                <w:lang w:val="en-US" w:eastAsia="zh-CN"/>
              </w:rPr>
            </w:pPr>
            <w:r>
              <w:rPr>
                <w:rFonts w:hint="eastAsia" w:ascii="宋体" w:hAnsi="宋体" w:eastAsia="宋体"/>
                <w:color w:val="auto"/>
                <w:sz w:val="24"/>
                <w:szCs w:val="24"/>
              </w:rPr>
              <w:t>针对以上所分析的IFRS17 实施可能出现的影响的问题，结合我国保险行业特点， 通过评估假设 ，构建IFRS17下与现行保险会计准则利润计晕的模型，通过模型评估的结果分析新保险合同准则实施后对我国保险企业盈利的影响，并作出相应的预判。</w:t>
            </w:r>
          </w:p>
          <w:p>
            <w:pPr>
              <w:numPr>
                <w:ilvl w:val="0"/>
                <w:numId w:val="0"/>
              </w:numPr>
              <w:ind w:firstLine="480" w:firstLineChars="200"/>
              <w:rPr>
                <w:rFonts w:hint="eastAsia" w:ascii="宋体" w:hAnsi="宋体" w:eastAsia="宋体"/>
                <w:color w:val="auto"/>
                <w:sz w:val="24"/>
                <w:szCs w:val="24"/>
              </w:rPr>
            </w:pPr>
            <w:r>
              <w:rPr>
                <w:rFonts w:hint="eastAsia" w:ascii="宋体" w:hAnsi="宋体" w:eastAsia="宋体"/>
                <w:color w:val="auto"/>
                <w:sz w:val="24"/>
                <w:szCs w:val="24"/>
              </w:rPr>
              <w:t>在现行的保险会计准则下，如果要衡量一个保险公司的经营成果，首选的指标就是保费收入，无论是公司的经营层、管理层或者投资层，在做经营计划或者当年经营考核的时候，又或者评估企业规模的时候，最主要的指标基础也是保费 收入。但是随着对 IFRS17 的深入了解与分析， 在新保险准则实施后， 保费收入的计量方式将会发生翻转式的变化 ，在 IFRS17下的保险合同收入不是在收到当期保费或者开始履行保险责任时就进行保费收入的确认，而是要拆分保险合同收入和投资收入，投资收入包含着由投资性质的寿险合同，同时不同的签订保费合同的时间点进行拆分</w:t>
            </w:r>
            <w:r>
              <w:rPr>
                <w:rFonts w:hint="eastAsia" w:ascii="宋体" w:hAnsi="宋体" w:eastAsia="宋体"/>
                <w:color w:val="auto"/>
                <w:sz w:val="24"/>
                <w:szCs w:val="24"/>
                <w:lang w:eastAsia="zh-CN"/>
              </w:rPr>
              <w:t>，</w:t>
            </w:r>
            <w:r>
              <w:rPr>
                <w:rFonts w:hint="eastAsia" w:ascii="宋体" w:hAnsi="宋体" w:eastAsia="宋体"/>
                <w:color w:val="auto"/>
                <w:sz w:val="24"/>
                <w:szCs w:val="24"/>
              </w:rPr>
              <w:t>同一个时间点还需要拆分亏损合同、在当前初始确认时间点没办法明确是否会亏损的合同以及其他合同。相应地保险支出也发生了一些变 化，进行一些项目的拆分，不仅包含现准则下的实际的综合赔款和综合费用，还要考虑保单获取成本的当期摊销，风险调整及合同服务边际的摊销等。因为保险 收入与保险支出的变化，同时现准则下保险利润还受提取准备金的金额影响，而IFRS17 实施后， 直接拆分了准备金的精算假设模式，同时新保险准则报表列示中也直接取消了提取未到期责任准备金及提取未决赔款准备金等项目，使得 IFRS17 下保险利润也产生了根本性的变化。</w:t>
            </w:r>
          </w:p>
          <w:p>
            <w:pPr>
              <w:numPr>
                <w:ilvl w:val="0"/>
                <w:numId w:val="0"/>
              </w:numPr>
              <w:ind w:firstLine="480" w:firstLineChars="200"/>
              <w:rPr>
                <w:rFonts w:hint="eastAsia" w:ascii="宋体" w:hAnsi="宋体" w:eastAsia="宋体"/>
                <w:color w:val="auto"/>
                <w:sz w:val="24"/>
                <w:szCs w:val="24"/>
              </w:rPr>
            </w:pPr>
            <w:r>
              <w:rPr>
                <w:rFonts w:hint="eastAsia" w:ascii="宋体" w:hAnsi="宋体" w:eastAsia="宋体"/>
                <w:color w:val="auto"/>
                <w:sz w:val="24"/>
                <w:szCs w:val="24"/>
              </w:rPr>
              <w:t>保险合同的保险责任时一个具有长期特征的合同，而在现行的会计准则下，当期收到的保费或者当期确认了保险责任的保险合同会直接计入保费收入，同时 记入当期损益，特别是寿险产品存在几年期筵交的情况，直接计入当期损益对承 保利润的影响会非常大。IFRS17 实施以后， 因为新保险会计准则引入了合同服务边际这一指标，就是为未来预计的变化通过合同服务边际这一指标进行调节， 最终的影响就是使保险公司的利润计量的影响因素分析的更加明晰，同时对最终的净利润波动的影响也更加的平滑。</w:t>
            </w:r>
          </w:p>
          <w:p>
            <w:pPr>
              <w:numPr>
                <w:ilvl w:val="0"/>
                <w:numId w:val="0"/>
              </w:numPr>
              <w:ind w:firstLine="480" w:firstLineChars="200"/>
              <w:rPr>
                <w:rFonts w:hint="eastAsia" w:ascii="宋体" w:hAnsi="宋体" w:eastAsia="宋体"/>
                <w:color w:val="auto"/>
                <w:sz w:val="24"/>
                <w:szCs w:val="24"/>
              </w:rPr>
            </w:pPr>
            <w:r>
              <w:rPr>
                <w:rFonts w:hint="eastAsia" w:ascii="宋体" w:hAnsi="宋体" w:eastAsia="宋体"/>
                <w:color w:val="auto"/>
                <w:sz w:val="24"/>
                <w:szCs w:val="24"/>
              </w:rPr>
              <w:t>距离 IASB 最终约定的 2023 年 1 月 1 日 IFRS17 正式上线实施的要求还有一年的时间，各保险公司为保证 2023 年业务计量顺利完成及历史数据的顺利转化， 已经提前开始对 IFRS17 进行精细的研究，同时涉及财务部门、精算部门、投资部门、信息技术部门等工作进行调整和整合，避免新保险准则实施后实际工作中出现的会计核算错误以及历史数据变更的波动性。</w:t>
            </w:r>
          </w:p>
          <w:p>
            <w:pPr>
              <w:numPr>
                <w:ilvl w:val="0"/>
                <w:numId w:val="0"/>
              </w:numPr>
              <w:ind w:firstLine="480" w:firstLineChars="200"/>
              <w:rPr>
                <w:rFonts w:hint="eastAsia" w:ascii="宋体" w:hAnsi="宋体" w:eastAsia="宋体"/>
                <w:color w:val="auto"/>
                <w:sz w:val="24"/>
                <w:szCs w:val="24"/>
              </w:rPr>
            </w:pPr>
            <w:r>
              <w:rPr>
                <w:rFonts w:hint="eastAsia" w:ascii="宋体" w:hAnsi="宋体" w:eastAsia="宋体"/>
                <w:color w:val="auto"/>
                <w:sz w:val="24"/>
                <w:szCs w:val="24"/>
              </w:rPr>
              <w:t>IFRS17 保险合同准则变化点众多切繁琐， 引入的精算模型十分专业， 对于专业的精算人员在参考新保险准则的时候也存在难点，那对保险公司的财务人员 以及系统人员更是一些高技术难点，所以需要所有保险人员攻坚克难，而系统规则的改造也是一大难点，包含精算系统、核算系统都需要耗费非常大的人力以及物力以及财力。</w:t>
            </w:r>
          </w:p>
          <w:p>
            <w:pPr>
              <w:numPr>
                <w:ilvl w:val="0"/>
                <w:numId w:val="0"/>
              </w:numPr>
              <w:ind w:firstLine="480" w:firstLineChars="200"/>
              <w:rPr>
                <w:rFonts w:hint="eastAsia" w:ascii="宋体" w:hAnsi="宋体" w:eastAsia="宋体"/>
                <w:color w:val="auto"/>
                <w:sz w:val="24"/>
                <w:szCs w:val="24"/>
              </w:rPr>
            </w:pPr>
            <w:r>
              <w:rPr>
                <w:rFonts w:hint="eastAsia" w:ascii="宋体" w:hAnsi="宋体" w:eastAsia="宋体"/>
                <w:color w:val="auto"/>
                <w:sz w:val="24"/>
                <w:szCs w:val="24"/>
              </w:rPr>
              <w:t>IASB 为了保证保险公司利润的稳定性 ， 减少因 IFRS17 实施造成的较大的利润波动， 所以 IFRS17 基</w:t>
            </w:r>
            <w:r>
              <w:rPr>
                <w:rFonts w:hint="eastAsia" w:ascii="宋体" w:hAnsi="宋体" w:eastAsia="宋体"/>
                <w:color w:val="auto"/>
                <w:sz w:val="24"/>
                <w:szCs w:val="24"/>
                <w:lang w:val="en-US" w:eastAsia="zh-CN"/>
              </w:rPr>
              <w:t>于</w:t>
            </w:r>
            <w:r>
              <w:rPr>
                <w:rFonts w:hint="eastAsia" w:ascii="宋体" w:hAnsi="宋体" w:eastAsia="宋体"/>
                <w:color w:val="auto"/>
                <w:sz w:val="24"/>
                <w:szCs w:val="24"/>
              </w:rPr>
              <w:t>会计准则为导向的原则， 对情况不同的保险公司来说，可以选择不同的实施方法 ， 例如追溯法、OCI 选择权、保险组合等各种选择。在作出会计政策选择的前提，还是考虑到折现率变化以及类似其他财务风险的</w:t>
            </w:r>
            <w:r>
              <w:rPr>
                <w:rFonts w:hint="eastAsia" w:ascii="宋体" w:hAnsi="宋体" w:eastAsia="宋体"/>
                <w:color w:val="auto"/>
                <w:sz w:val="24"/>
                <w:szCs w:val="24"/>
                <w:lang w:val="en-US" w:eastAsia="zh-CN"/>
              </w:rPr>
              <w:t>因素</w:t>
            </w:r>
            <w:r>
              <w:rPr>
                <w:rFonts w:hint="eastAsia" w:ascii="宋体" w:hAnsi="宋体" w:eastAsia="宋体"/>
                <w:color w:val="auto"/>
                <w:sz w:val="24"/>
                <w:szCs w:val="24"/>
              </w:rPr>
              <w:t>。可以预见，新保险合同准则的实施，涉及投资成分较多的保险产品的收入体现将会下降，所以保险公司应该合理的开发新的产品，符合新保险准则保险业务 收入计量的保障型的产品和组合，才能为公司带来更多的收益。</w:t>
            </w:r>
          </w:p>
          <w:p>
            <w:pPr>
              <w:numPr>
                <w:ilvl w:val="0"/>
                <w:numId w:val="0"/>
              </w:numPr>
              <w:ind w:firstLine="480" w:firstLineChars="200"/>
              <w:rPr>
                <w:rFonts w:hint="eastAsia" w:ascii="宋体" w:hAnsi="宋体" w:eastAsia="宋体"/>
                <w:color w:val="auto"/>
                <w:sz w:val="24"/>
                <w:szCs w:val="24"/>
              </w:rPr>
            </w:pPr>
            <w:r>
              <w:rPr>
                <w:rFonts w:hint="eastAsia" w:ascii="宋体" w:hAnsi="宋体" w:eastAsia="宋体"/>
                <w:color w:val="auto"/>
                <w:sz w:val="24"/>
                <w:szCs w:val="24"/>
              </w:rPr>
              <w:t>IFRS17 对保险公司利润计量提出了很大的挑战，极大程度的增加了保险公司披露的透明度，所以保险公司的会计核算的复杂性、准确性有要求的更高，＂未赚利润＂的解释及披露难度又上升一个台阶，对现行的保险会计制度提供了更高的报表列示的要求。所以要求全保险行业要有整体的应对策略，认真研究 IFRS17 带给保险公司的影响以及寻找更好的对策与方案，更好的应对 IFRS17 带来的挑战。</w:t>
            </w:r>
          </w:p>
          <w:p>
            <w:pPr>
              <w:numPr>
                <w:ilvl w:val="0"/>
                <w:numId w:val="0"/>
              </w:numPr>
              <w:ind w:firstLine="480" w:firstLineChars="200"/>
              <w:rPr>
                <w:rFonts w:hint="eastAsia" w:ascii="宋体" w:hAnsi="宋体" w:eastAsia="宋体"/>
                <w:color w:val="auto"/>
                <w:sz w:val="24"/>
                <w:szCs w:val="24"/>
              </w:rPr>
            </w:pPr>
          </w:p>
          <w:p>
            <w:pPr>
              <w:numPr>
                <w:ilvl w:val="0"/>
                <w:numId w:val="0"/>
              </w:numPr>
              <w:rPr>
                <w:rFonts w:hint="eastAsia" w:ascii="宋体" w:hAnsi="宋体" w:eastAsia="宋体"/>
                <w:color w:val="FF0000"/>
                <w:sz w:val="24"/>
                <w:szCs w:val="24"/>
              </w:rPr>
            </w:pPr>
          </w:p>
          <w:p>
            <w:pPr>
              <w:numPr>
                <w:ilvl w:val="0"/>
                <w:numId w:val="0"/>
              </w:numPr>
              <w:rPr>
                <w:rFonts w:hint="eastAsia" w:ascii="宋体" w:hAnsi="宋体" w:eastAsia="宋体"/>
                <w:color w:val="FF0000"/>
                <w:sz w:val="24"/>
                <w:szCs w:val="24"/>
              </w:rPr>
            </w:pPr>
          </w:p>
          <w:p>
            <w:pPr>
              <w:numPr>
                <w:ilvl w:val="0"/>
                <w:numId w:val="0"/>
              </w:numPr>
              <w:rPr>
                <w:rFonts w:hint="eastAsia" w:ascii="宋体" w:hAnsi="宋体" w:eastAsia="宋体"/>
                <w:color w:val="FF0000"/>
                <w:sz w:val="24"/>
                <w:szCs w:val="24"/>
              </w:rPr>
            </w:pPr>
          </w:p>
          <w:p>
            <w:pPr>
              <w:rPr>
                <w:rFonts w:hint="eastAsia" w:ascii="宋体" w:hAnsi="宋体" w:eastAsia="宋体"/>
                <w:color w:val="FF0000"/>
                <w:sz w:val="24"/>
                <w:szCs w:val="24"/>
              </w:rPr>
            </w:pPr>
          </w:p>
          <w:p>
            <w:pPr>
              <w:rPr>
                <w:rFonts w:ascii="宋体" w:hAnsi="宋体" w:eastAsia="宋体"/>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rPr>
                <w:rFonts w:ascii="宋体" w:hAnsi="宋体" w:eastAsia="宋体"/>
                <w:sz w:val="24"/>
                <w:szCs w:val="24"/>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hint="eastAsia" w:ascii="宋体" w:hAnsi="宋体" w:eastAsia="宋体"/>
                <w:color w:val="FF0000"/>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rPr>
                <w:rFonts w:hint="eastAsia" w:ascii="宋体" w:hAnsi="宋体" w:eastAsia="宋体"/>
                <w:sz w:val="24"/>
                <w:szCs w:val="24"/>
              </w:rPr>
            </w:pPr>
          </w:p>
          <w:p>
            <w:pPr>
              <w:ind w:firstLine="480" w:firstLineChars="200"/>
              <w:rPr>
                <w:rFonts w:hint="eastAsia" w:ascii="宋体" w:hAnsi="宋体" w:eastAsia="宋体"/>
                <w:sz w:val="24"/>
                <w:szCs w:val="24"/>
              </w:rPr>
            </w:pPr>
            <w:r>
              <w:rPr>
                <w:rFonts w:hint="eastAsia" w:ascii="宋体" w:hAnsi="宋体" w:eastAsia="宋体"/>
                <w:sz w:val="24"/>
                <w:szCs w:val="24"/>
              </w:rPr>
              <w:t>分析新保险准则实施后对利润评估的影响程度，采用搭建利润计算模型的方式进行研究分析，依照目前现有的保险准则要求，制定相关假设率，分析新保险准则实施后对保险公司利润的计量的变动趋势，分析原因，总结新保险准则实施后对保险利润的影响。</w:t>
            </w:r>
          </w:p>
          <w:p>
            <w:pPr>
              <w:ind w:firstLine="480" w:firstLineChars="200"/>
              <w:rPr>
                <w:rFonts w:hint="default" w:ascii="宋体" w:hAnsi="宋体" w:eastAsiaTheme="minorEastAsia"/>
                <w:sz w:val="24"/>
                <w:szCs w:val="24"/>
                <w:lang w:val="en-US" w:eastAsia="zh-CN"/>
              </w:rPr>
            </w:pPr>
            <w:r>
              <w:rPr>
                <w:rFonts w:hint="eastAsia" w:ascii="宋体" w:hAnsi="宋体" w:eastAsia="宋体"/>
                <w:sz w:val="24"/>
                <w:szCs w:val="24"/>
                <w:lang w:val="en-US" w:eastAsia="zh-CN"/>
              </w:rPr>
              <w:t>需要</w:t>
            </w:r>
            <w:r>
              <w:rPr>
                <w:rFonts w:hint="eastAsia" w:ascii="宋体" w:hAnsi="宋体" w:eastAsia="宋体"/>
                <w:sz w:val="24"/>
                <w:szCs w:val="24"/>
              </w:rPr>
              <w:t>使用的主要假设</w:t>
            </w:r>
            <w:r>
              <w:rPr>
                <w:rFonts w:hint="eastAsia" w:ascii="宋体" w:hAnsi="宋体" w:eastAsia="宋体"/>
                <w:sz w:val="24"/>
                <w:szCs w:val="24"/>
                <w:lang w:val="en-US" w:eastAsia="zh-CN"/>
              </w:rPr>
              <w:t>率</w:t>
            </w:r>
            <w:r>
              <w:rPr>
                <w:rFonts w:hint="eastAsia" w:ascii="宋体" w:hAnsi="宋体" w:eastAsia="宋体"/>
                <w:sz w:val="24"/>
                <w:szCs w:val="24"/>
              </w:rPr>
              <w:t>包括死亡率、发病率、投资回报率、费用率、报单退保率、赔付率以及折现率等</w:t>
            </w:r>
            <w:r>
              <w:rPr>
                <w:rFonts w:hint="eastAsia" w:ascii="宋体" w:hAnsi="宋体" w:eastAsia="宋体"/>
                <w:sz w:val="24"/>
                <w:szCs w:val="24"/>
                <w:lang w:eastAsia="zh-CN"/>
              </w:rPr>
              <w:t>，</w:t>
            </w:r>
            <w:r>
              <w:rPr>
                <w:rFonts w:hint="eastAsia" w:ascii="宋体" w:hAnsi="宋体" w:eastAsia="宋体"/>
                <w:sz w:val="24"/>
                <w:szCs w:val="24"/>
                <w:lang w:val="en-US" w:eastAsia="zh-CN"/>
              </w:rPr>
              <w:t>根据银保监会相关规定取数或者取行业平均数据。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numPr>
                <w:ilvl w:val="0"/>
                <w:numId w:val="2"/>
              </w:numPr>
              <w:rPr>
                <w:rFonts w:hint="eastAsia" w:ascii="宋体" w:hAnsi="宋体" w:eastAsia="宋体"/>
                <w:color w:val="FF0000"/>
                <w:sz w:val="24"/>
                <w:szCs w:val="24"/>
              </w:rPr>
            </w:pP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numPr>
                <w:ilvl w:val="0"/>
                <w:numId w:val="0"/>
              </w:numPr>
              <w:rPr>
                <w:rFonts w:hint="eastAsia" w:ascii="宋体" w:hAnsi="宋体" w:eastAsia="宋体"/>
                <w:color w:val="FF0000"/>
                <w:sz w:val="24"/>
                <w:szCs w:val="24"/>
              </w:rPr>
            </w:pPr>
          </w:p>
          <w:p>
            <w:pPr>
              <w:ind w:firstLine="480" w:firstLineChars="200"/>
              <w:rPr>
                <w:rFonts w:hint="eastAsia" w:ascii="宋体" w:hAnsi="宋体" w:eastAsia="宋体"/>
                <w:sz w:val="24"/>
                <w:szCs w:val="24"/>
              </w:rPr>
            </w:pPr>
            <w:r>
              <w:rPr>
                <w:rFonts w:hint="eastAsia" w:ascii="宋体" w:hAnsi="宋体" w:eastAsia="宋体"/>
                <w:sz w:val="24"/>
                <w:szCs w:val="24"/>
              </w:rPr>
              <w:t>新保险准则规定保费确认的时间为保险公司将保险责任或者服务已经提供给客户的时候，这样保费是平缓延续的进入保险公司的利润表中，新保险准则下，利润的数据是更贴近现实的。</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新保险准则实施后，保险合同确认变更，保费收入降低，利润下降。</w:t>
            </w:r>
          </w:p>
          <w:p>
            <w:pPr>
              <w:ind w:firstLine="480" w:firstLineChars="200"/>
              <w:rPr>
                <w:rFonts w:hint="eastAsia" w:ascii="宋体" w:hAnsi="宋体" w:eastAsia="宋体"/>
                <w:sz w:val="24"/>
                <w:szCs w:val="24"/>
              </w:rPr>
            </w:pPr>
            <w:r>
              <w:rPr>
                <w:rFonts w:hint="eastAsia" w:ascii="宋体" w:hAnsi="宋体" w:eastAsia="宋体"/>
                <w:sz w:val="24"/>
                <w:szCs w:val="24"/>
              </w:rPr>
              <w:t>新保险准则下，依据折现率对保险公司未来预期合同的现金流</w:t>
            </w:r>
            <w:r>
              <w:rPr>
                <w:rFonts w:hint="eastAsia" w:ascii="宋体" w:hAnsi="宋体" w:eastAsia="宋体"/>
                <w:sz w:val="24"/>
                <w:szCs w:val="24"/>
                <w:lang w:eastAsia="zh-CN"/>
              </w:rPr>
              <w:t>，</w:t>
            </w:r>
            <w:r>
              <w:rPr>
                <w:rFonts w:hint="eastAsia" w:ascii="宋体" w:hAnsi="宋体" w:eastAsia="宋体"/>
                <w:sz w:val="24"/>
                <w:szCs w:val="24"/>
              </w:rPr>
              <w:t>保险公司会更注重资产负债的匹配，保证在保险合同存续期间维持一个稳定的利润现金流，同时不会出现偿付能力大的风险敞口。</w:t>
            </w:r>
          </w:p>
          <w:p>
            <w:pPr>
              <w:ind w:firstLine="480" w:firstLineChars="200"/>
              <w:rPr>
                <w:rFonts w:hint="eastAsia" w:ascii="宋体" w:hAnsi="宋体" w:eastAsia="宋体"/>
                <w:sz w:val="24"/>
                <w:szCs w:val="24"/>
              </w:rPr>
            </w:pPr>
            <w:r>
              <w:rPr>
                <w:rFonts w:hint="eastAsia" w:ascii="宋体" w:hAnsi="宋体" w:eastAsia="宋体"/>
                <w:sz w:val="24"/>
                <w:szCs w:val="24"/>
              </w:rPr>
              <w:t>新保险准则</w:t>
            </w:r>
            <w:r>
              <w:rPr>
                <w:rFonts w:hint="eastAsia" w:ascii="宋体" w:hAnsi="宋体" w:eastAsia="宋体"/>
                <w:sz w:val="24"/>
                <w:szCs w:val="24"/>
                <w:lang w:val="en-US" w:eastAsia="zh-CN"/>
              </w:rPr>
              <w:t>下</w:t>
            </w:r>
            <w:r>
              <w:rPr>
                <w:rFonts w:hint="eastAsia" w:ascii="宋体" w:hAnsi="宋体" w:eastAsia="宋体"/>
                <w:sz w:val="24"/>
                <w:szCs w:val="24"/>
              </w:rPr>
              <w:t>，财务、精算打通</w:t>
            </w:r>
            <w:r>
              <w:rPr>
                <w:rFonts w:hint="eastAsia" w:ascii="宋体" w:hAnsi="宋体" w:eastAsia="宋体"/>
                <w:sz w:val="24"/>
                <w:szCs w:val="24"/>
                <w:lang w:eastAsia="zh-CN"/>
              </w:rPr>
              <w:t>，</w:t>
            </w:r>
            <w:r>
              <w:rPr>
                <w:rFonts w:hint="eastAsia" w:ascii="宋体" w:hAnsi="宋体" w:eastAsia="宋体"/>
                <w:sz w:val="24"/>
                <w:szCs w:val="24"/>
                <w:lang w:val="en-US" w:eastAsia="zh-CN"/>
              </w:rPr>
              <w:t>数据需要一致</w:t>
            </w:r>
            <w:r>
              <w:rPr>
                <w:rFonts w:hint="eastAsia" w:ascii="宋体" w:hAnsi="宋体" w:eastAsia="宋体"/>
                <w:sz w:val="24"/>
                <w:szCs w:val="24"/>
              </w:rPr>
              <w:t>，会计人员会兼顾精算的知识，对公司利润的预测将</w:t>
            </w:r>
            <w:r>
              <w:rPr>
                <w:rFonts w:hint="eastAsia" w:ascii="宋体" w:hAnsi="宋体" w:eastAsia="宋体"/>
                <w:sz w:val="24"/>
                <w:szCs w:val="24"/>
                <w:lang w:val="en-US" w:eastAsia="zh-CN"/>
              </w:rPr>
              <w:t>更佳</w:t>
            </w:r>
            <w:r>
              <w:rPr>
                <w:rFonts w:hint="eastAsia" w:ascii="宋体" w:hAnsi="宋体" w:eastAsia="宋体"/>
                <w:sz w:val="24"/>
                <w:szCs w:val="24"/>
              </w:rPr>
              <w:t>的具体与完善，为经营者提供更好、更准确的经营建议。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rPr>
                <w:rFonts w:hint="eastAsia" w:ascii="宋体" w:hAnsi="宋体" w:eastAsia="宋体"/>
                <w:sz w:val="24"/>
                <w:szCs w:val="24"/>
              </w:rPr>
            </w:pPr>
          </w:p>
          <w:p>
            <w:pPr>
              <w:ind w:firstLine="480" w:firstLineChars="200"/>
              <w:rPr>
                <w:rFonts w:hint="eastAsia" w:ascii="宋体" w:hAnsi="宋体" w:eastAsia="宋体"/>
                <w:sz w:val="24"/>
                <w:szCs w:val="24"/>
              </w:rPr>
            </w:pPr>
            <w:r>
              <w:rPr>
                <w:rFonts w:hint="eastAsia" w:ascii="宋体" w:hAnsi="宋体" w:eastAsia="宋体"/>
                <w:sz w:val="24"/>
                <w:szCs w:val="24"/>
              </w:rPr>
              <w:t>保险合同准备金的计量基于三个基本要素：对未来现金流采用明确的当前估计、反应现金流量的时间价值、 包括显性的边际。基</w:t>
            </w:r>
            <w:r>
              <w:rPr>
                <w:rFonts w:hint="eastAsia" w:ascii="宋体" w:hAnsi="宋体" w:eastAsia="宋体"/>
                <w:sz w:val="24"/>
                <w:szCs w:val="24"/>
                <w:lang w:val="en-US" w:eastAsia="zh-CN"/>
              </w:rPr>
              <w:t>于</w:t>
            </w:r>
            <w:r>
              <w:rPr>
                <w:rFonts w:hint="eastAsia" w:ascii="宋体" w:hAnsi="宋体" w:eastAsia="宋体"/>
                <w:sz w:val="24"/>
                <w:szCs w:val="24"/>
              </w:rPr>
              <w:t>这个角度对新保险准则进行分析。</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通过模型展示</w:t>
            </w:r>
            <w:r>
              <w:rPr>
                <w:rFonts w:hint="eastAsia" w:ascii="宋体" w:hAnsi="宋体" w:eastAsia="宋体"/>
                <w:sz w:val="24"/>
                <w:szCs w:val="24"/>
                <w:lang w:val="en-US" w:eastAsia="zh-CN"/>
              </w:rPr>
              <w:t>新保险合同准则</w:t>
            </w:r>
            <w:r>
              <w:rPr>
                <w:rFonts w:hint="eastAsia" w:ascii="宋体" w:hAnsi="宋体" w:eastAsia="宋体"/>
                <w:sz w:val="24"/>
                <w:szCs w:val="24"/>
              </w:rPr>
              <w:t>与我国现行保险合同准则对利润的影响</w:t>
            </w:r>
            <w:r>
              <w:rPr>
                <w:rFonts w:hint="eastAsia" w:ascii="宋体" w:hAnsi="宋体" w:eastAsia="宋体"/>
                <w:sz w:val="24"/>
                <w:szCs w:val="24"/>
                <w:lang w:val="en-US" w:eastAsia="zh-CN"/>
              </w:rPr>
              <w:t>比较</w:t>
            </w:r>
            <w:r>
              <w:rPr>
                <w:rFonts w:hint="eastAsia" w:ascii="宋体" w:hAnsi="宋体" w:eastAsia="宋体"/>
                <w:sz w:val="24"/>
                <w:szCs w:val="24"/>
                <w:lang w:eastAsia="zh-CN"/>
              </w:rPr>
              <w:t>，</w:t>
            </w:r>
            <w:r>
              <w:rPr>
                <w:rFonts w:hint="eastAsia" w:ascii="宋体" w:hAnsi="宋体" w:eastAsia="宋体"/>
                <w:sz w:val="24"/>
                <w:szCs w:val="24"/>
              </w:rPr>
              <w:t>通过数字展示利润</w:t>
            </w:r>
            <w:r>
              <w:rPr>
                <w:rFonts w:hint="eastAsia" w:ascii="宋体" w:hAnsi="宋体" w:eastAsia="宋体"/>
                <w:sz w:val="24"/>
                <w:szCs w:val="24"/>
                <w:lang w:val="en-US" w:eastAsia="zh-CN"/>
              </w:rPr>
              <w:t>展示</w:t>
            </w:r>
            <w:r>
              <w:rPr>
                <w:rFonts w:hint="eastAsia" w:ascii="宋体" w:hAnsi="宋体" w:eastAsia="宋体"/>
                <w:sz w:val="24"/>
                <w:szCs w:val="24"/>
              </w:rPr>
              <w:t>保险责任期间利润的波动情况，使结果更加清晰</w:t>
            </w:r>
            <w:r>
              <w:rPr>
                <w:rFonts w:hint="eastAsia" w:ascii="宋体" w:hAnsi="宋体" w:eastAsia="宋体"/>
                <w:sz w:val="24"/>
                <w:szCs w:val="24"/>
                <w:lang w:eastAsia="zh-CN"/>
              </w:rPr>
              <w:t>。</w:t>
            </w:r>
          </w:p>
        </w:tc>
      </w:tr>
      <w:bookmarkEnd w:id="0"/>
    </w:tbl>
    <w:p>
      <w:pPr>
        <w:rPr>
          <w:rFonts w:ascii="宋体" w:hAnsi="宋体" w:eastAsia="宋体"/>
          <w:sz w:val="32"/>
          <w:szCs w:val="3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p>
            <w:pPr>
              <w:spacing w:line="0" w:lineRule="atLeast"/>
              <w:rPr>
                <w:color w:val="FF0000"/>
                <w:sz w:val="18"/>
                <w:szCs w:val="20"/>
              </w:rPr>
            </w:pPr>
            <w:r>
              <w:rPr>
                <w:rFonts w:hint="eastAsia"/>
                <w:color w:val="FF0000"/>
                <w:sz w:val="18"/>
                <w:szCs w:val="20"/>
              </w:rPr>
              <w:t>1. 书</w:t>
            </w:r>
          </w:p>
          <w:p>
            <w:pPr>
              <w:autoSpaceDE w:val="0"/>
              <w:autoSpaceDN w:val="0"/>
              <w:adjustRightInd w:val="0"/>
              <w:spacing w:line="0" w:lineRule="atLeast"/>
              <w:jc w:val="left"/>
              <w:rPr>
                <w:rFonts w:ascii="宋体" w:hAnsi="宋体" w:cs="HiddenHorzOCR"/>
                <w:kern w:val="0"/>
                <w:sz w:val="15"/>
                <w:szCs w:val="15"/>
              </w:rPr>
            </w:pPr>
            <w:r>
              <w:rPr>
                <w:rFonts w:hint="eastAsia" w:ascii="宋体" w:hAnsi="宋体" w:cs="HiddenHorzOCR"/>
                <w:kern w:val="0"/>
                <w:sz w:val="15"/>
                <w:szCs w:val="15"/>
                <w:highlight w:val="yellow"/>
              </w:rPr>
              <w:t>作者姓名（姓在前名在后）、</w:t>
            </w:r>
            <w:r>
              <w:rPr>
                <w:rFonts w:hint="eastAsia" w:ascii="宋体" w:hAnsi="宋体" w:cs="宋体"/>
                <w:kern w:val="0"/>
                <w:sz w:val="15"/>
                <w:szCs w:val="15"/>
                <w:highlight w:val="yellow"/>
              </w:rPr>
              <w:t>书</w:t>
            </w:r>
            <w:r>
              <w:rPr>
                <w:rFonts w:hint="eastAsia" w:ascii="宋体" w:hAnsi="宋体" w:cs="Yu Gothic"/>
                <w:kern w:val="0"/>
                <w:sz w:val="15"/>
                <w:szCs w:val="15"/>
                <w:highlight w:val="yellow"/>
              </w:rPr>
              <w:t>名（英文</w:t>
            </w:r>
            <w:r>
              <w:rPr>
                <w:rFonts w:hint="eastAsia" w:ascii="宋体" w:hAnsi="宋体" w:cs="宋体"/>
                <w:kern w:val="0"/>
                <w:sz w:val="15"/>
                <w:szCs w:val="15"/>
                <w:highlight w:val="yellow"/>
              </w:rPr>
              <w:t>书</w:t>
            </w:r>
            <w:r>
              <w:rPr>
                <w:rFonts w:hint="eastAsia" w:ascii="宋体" w:hAnsi="宋体" w:cs="Yu Gothic"/>
                <w:kern w:val="0"/>
                <w:sz w:val="15"/>
                <w:szCs w:val="15"/>
                <w:highlight w:val="yellow"/>
              </w:rPr>
              <w:t>用斜体或下划、中文</w:t>
            </w:r>
            <w:r>
              <w:rPr>
                <w:rFonts w:hint="eastAsia" w:ascii="宋体" w:hAnsi="宋体" w:cs="宋体"/>
                <w:kern w:val="0"/>
                <w:sz w:val="15"/>
                <w:szCs w:val="15"/>
                <w:highlight w:val="yellow"/>
              </w:rPr>
              <w:t>书</w:t>
            </w:r>
            <w:r>
              <w:rPr>
                <w:rFonts w:hint="eastAsia" w:ascii="宋体" w:hAnsi="宋体" w:cs="Yu Gothic"/>
                <w:kern w:val="0"/>
                <w:sz w:val="15"/>
                <w:szCs w:val="15"/>
                <w:highlight w:val="yellow"/>
              </w:rPr>
              <w:t>用</w:t>
            </w:r>
            <w:r>
              <w:rPr>
                <w:rFonts w:hint="eastAsia" w:ascii="宋体" w:hAnsi="宋体" w:cs="宋体"/>
                <w:kern w:val="0"/>
                <w:sz w:val="15"/>
                <w:szCs w:val="15"/>
                <w:highlight w:val="yellow"/>
              </w:rPr>
              <w:t>书</w:t>
            </w:r>
            <w:r>
              <w:rPr>
                <w:rFonts w:hint="eastAsia" w:ascii="宋体" w:hAnsi="宋体" w:cs="Yu Gothic"/>
                <w:kern w:val="0"/>
                <w:sz w:val="15"/>
                <w:szCs w:val="15"/>
                <w:highlight w:val="yellow"/>
              </w:rPr>
              <w:t>名号）、版次（</w:t>
            </w:r>
            <w:r>
              <w:rPr>
                <w:rFonts w:hint="eastAsia" w:ascii="宋体" w:hAnsi="宋体" w:cs="Yu Gothic"/>
                <w:kern w:val="0"/>
                <w:sz w:val="15"/>
                <w:szCs w:val="15"/>
                <w:highlight w:val="yellow"/>
                <w:u w:val="single"/>
              </w:rPr>
              <w:t>如果不是第一版的</w:t>
            </w:r>
            <w:r>
              <w:rPr>
                <w:rFonts w:hint="eastAsia" w:ascii="宋体" w:hAnsi="宋体" w:cs="宋体"/>
                <w:kern w:val="0"/>
                <w:sz w:val="15"/>
                <w:szCs w:val="15"/>
                <w:highlight w:val="yellow"/>
                <w:u w:val="single"/>
              </w:rPr>
              <w:t>话</w:t>
            </w:r>
            <w:r>
              <w:rPr>
                <w:rFonts w:hint="eastAsia" w:ascii="宋体" w:hAnsi="宋体" w:cs="Yu Gothic"/>
                <w:kern w:val="0"/>
                <w:sz w:val="15"/>
                <w:szCs w:val="15"/>
                <w:highlight w:val="yellow"/>
              </w:rPr>
              <w:t>）、出版地、出版者</w:t>
            </w:r>
            <w:r>
              <w:rPr>
                <w:rFonts w:hint="eastAsia" w:ascii="宋体" w:hAnsi="宋体" w:cs="HiddenHorzOCR"/>
                <w:kern w:val="0"/>
                <w:sz w:val="15"/>
                <w:szCs w:val="15"/>
                <w:highlight w:val="yellow"/>
              </w:rPr>
              <w:t>，出版年。</w:t>
            </w:r>
          </w:p>
          <w:p>
            <w:pPr>
              <w:spacing w:line="0" w:lineRule="atLeast"/>
              <w:ind w:left="180" w:hanging="180" w:hangingChars="100"/>
              <w:rPr>
                <w:rFonts w:ascii="仿宋" w:hAnsi="仿宋" w:eastAsia="仿宋"/>
                <w:sz w:val="18"/>
                <w:szCs w:val="20"/>
                <w:highlight w:val="yellow"/>
              </w:rPr>
            </w:pPr>
            <w:r>
              <w:rPr>
                <w:rFonts w:hint="eastAsia" w:ascii="仿宋" w:hAnsi="仿宋" w:eastAsia="仿宋"/>
                <w:sz w:val="18"/>
                <w:szCs w:val="20"/>
                <w:highlight w:val="yellow"/>
              </w:rPr>
              <w:t>中文图书：</w:t>
            </w:r>
          </w:p>
          <w:p>
            <w:pPr>
              <w:spacing w:line="0" w:lineRule="atLeast"/>
              <w:ind w:left="180" w:hanging="180" w:hangingChars="100"/>
              <w:rPr>
                <w:sz w:val="18"/>
                <w:szCs w:val="20"/>
                <w:highlight w:val="yellow"/>
              </w:rPr>
            </w:pPr>
            <w:r>
              <w:rPr>
                <w:rFonts w:hint="eastAsia"/>
                <w:sz w:val="18"/>
                <w:szCs w:val="20"/>
                <w:highlight w:val="yellow"/>
              </w:rPr>
              <w:t>姜明安，《行政法概要》，北京，北京大学出版社，1986。</w:t>
            </w:r>
          </w:p>
          <w:p>
            <w:pPr>
              <w:spacing w:line="0" w:lineRule="atLeast"/>
              <w:ind w:left="180" w:hanging="180" w:hangingChars="100"/>
              <w:rPr>
                <w:rFonts w:ascii="仿宋" w:hAnsi="仿宋" w:eastAsia="仿宋"/>
                <w:sz w:val="18"/>
                <w:szCs w:val="20"/>
                <w:highlight w:val="yellow"/>
              </w:rPr>
            </w:pPr>
            <w:r>
              <w:rPr>
                <w:rFonts w:hint="eastAsia" w:ascii="仿宋" w:hAnsi="仿宋" w:eastAsia="仿宋"/>
                <w:sz w:val="18"/>
                <w:szCs w:val="20"/>
                <w:highlight w:val="yellow"/>
              </w:rPr>
              <w:t>外文图书：</w:t>
            </w:r>
          </w:p>
          <w:p>
            <w:pPr>
              <w:spacing w:line="0" w:lineRule="atLeast"/>
              <w:rPr>
                <w:sz w:val="18"/>
                <w:szCs w:val="20"/>
                <w:highlight w:val="yellow"/>
              </w:rPr>
            </w:pPr>
            <w:r>
              <w:rPr>
                <w:rFonts w:hint="eastAsia"/>
                <w:sz w:val="18"/>
                <w:szCs w:val="20"/>
                <w:highlight w:val="yellow"/>
              </w:rPr>
              <w:t>[美]E. Gellhom</w:t>
            </w:r>
            <w:r>
              <w:rPr>
                <w:sz w:val="18"/>
                <w:szCs w:val="20"/>
                <w:highlight w:val="yellow"/>
              </w:rPr>
              <w:t>,</w:t>
            </w:r>
            <w:r>
              <w:rPr>
                <w:rFonts w:hint="eastAsia"/>
                <w:sz w:val="18"/>
                <w:szCs w:val="20"/>
                <w:highlight w:val="yellow"/>
              </w:rPr>
              <w:t xml:space="preserve"> </w:t>
            </w:r>
            <w:r>
              <w:rPr>
                <w:rFonts w:hint="eastAsia"/>
                <w:i/>
                <w:iCs/>
                <w:sz w:val="18"/>
                <w:szCs w:val="20"/>
                <w:highlight w:val="yellow"/>
              </w:rPr>
              <w:t>Administrative Law and process</w:t>
            </w:r>
            <w:r>
              <w:rPr>
                <w:i/>
                <w:iCs/>
                <w:sz w:val="18"/>
                <w:szCs w:val="20"/>
                <w:highlight w:val="yellow"/>
              </w:rPr>
              <w:t>,</w:t>
            </w:r>
            <w:r>
              <w:rPr>
                <w:rFonts w:hint="eastAsia"/>
                <w:sz w:val="18"/>
                <w:szCs w:val="20"/>
                <w:highlight w:val="yellow"/>
              </w:rPr>
              <w:t xml:space="preserve"> West B. B. Boyer </w:t>
            </w:r>
            <w:r>
              <w:rPr>
                <w:sz w:val="18"/>
                <w:szCs w:val="20"/>
                <w:highlight w:val="yellow"/>
              </w:rPr>
              <w:t>1959.</w:t>
            </w:r>
          </w:p>
          <w:p>
            <w:pPr>
              <w:spacing w:line="0" w:lineRule="atLeast"/>
              <w:rPr>
                <w:sz w:val="18"/>
                <w:szCs w:val="20"/>
              </w:rPr>
            </w:pPr>
          </w:p>
          <w:p>
            <w:pPr>
              <w:spacing w:line="0" w:lineRule="atLeast"/>
              <w:rPr>
                <w:sz w:val="18"/>
                <w:szCs w:val="20"/>
              </w:rPr>
            </w:pPr>
          </w:p>
          <w:p>
            <w:pPr>
              <w:spacing w:line="0" w:lineRule="atLeast"/>
              <w:rPr>
                <w:sz w:val="18"/>
                <w:szCs w:val="20"/>
              </w:rPr>
            </w:pPr>
          </w:p>
          <w:p>
            <w:pPr>
              <w:spacing w:line="0" w:lineRule="atLeast"/>
              <w:rPr>
                <w:color w:val="FF0000"/>
                <w:sz w:val="18"/>
                <w:szCs w:val="20"/>
              </w:rPr>
            </w:pPr>
            <w:r>
              <w:rPr>
                <w:rFonts w:hint="eastAsia"/>
                <w:sz w:val="18"/>
                <w:szCs w:val="20"/>
              </w:rPr>
              <w:t>2．</w:t>
            </w:r>
            <w:r>
              <w:rPr>
                <w:rFonts w:hint="eastAsia"/>
                <w:color w:val="FF0000"/>
                <w:sz w:val="18"/>
                <w:szCs w:val="20"/>
              </w:rPr>
              <w:t>期刊</w:t>
            </w:r>
          </w:p>
          <w:p>
            <w:pPr>
              <w:autoSpaceDE w:val="0"/>
              <w:autoSpaceDN w:val="0"/>
              <w:adjustRightInd w:val="0"/>
              <w:spacing w:line="0" w:lineRule="atLeast"/>
              <w:jc w:val="left"/>
              <w:rPr>
                <w:rFonts w:ascii="宋体" w:hAnsi="宋体" w:cs="HiddenHorzOCR"/>
                <w:kern w:val="0"/>
                <w:sz w:val="15"/>
                <w:szCs w:val="15"/>
                <w:highlight w:val="yellow"/>
              </w:rPr>
            </w:pPr>
            <w:r>
              <w:rPr>
                <w:rFonts w:hint="eastAsia" w:ascii="宋体" w:hAnsi="宋体" w:cs="HiddenHorzOCR"/>
                <w:kern w:val="0"/>
                <w:sz w:val="15"/>
                <w:szCs w:val="15"/>
                <w:highlight w:val="yellow"/>
              </w:rPr>
              <w:t>作者姓名（姓在前名在后）、文章</w:t>
            </w:r>
            <w:r>
              <w:rPr>
                <w:rFonts w:hint="eastAsia" w:ascii="宋体" w:hAnsi="宋体" w:cs="宋体"/>
                <w:kern w:val="0"/>
                <w:sz w:val="15"/>
                <w:szCs w:val="15"/>
                <w:highlight w:val="yellow"/>
              </w:rPr>
              <w:t>标题</w:t>
            </w:r>
            <w:r>
              <w:rPr>
                <w:rFonts w:hint="eastAsia" w:ascii="宋体" w:hAnsi="宋体" w:cs="HiddenHorzOCR"/>
                <w:kern w:val="0"/>
                <w:sz w:val="15"/>
                <w:szCs w:val="15"/>
                <w:highlight w:val="yellow"/>
              </w:rPr>
              <w:t>（引号）、期刊名（英文用斜体或下划、中文用</w:t>
            </w:r>
            <w:r>
              <w:rPr>
                <w:rFonts w:hint="eastAsia" w:ascii="宋体" w:hAnsi="宋体" w:cs="宋体"/>
                <w:kern w:val="0"/>
                <w:sz w:val="15"/>
                <w:szCs w:val="15"/>
                <w:highlight w:val="yellow"/>
              </w:rPr>
              <w:t>书</w:t>
            </w:r>
            <w:r>
              <w:rPr>
                <w:rFonts w:hint="eastAsia" w:ascii="宋体" w:hAnsi="宋体" w:cs="Yu Gothic"/>
                <w:kern w:val="0"/>
                <w:sz w:val="15"/>
                <w:szCs w:val="15"/>
                <w:highlight w:val="yellow"/>
              </w:rPr>
              <w:t>名号）、卷号和期号、出版年，</w:t>
            </w:r>
            <w:r>
              <w:rPr>
                <w:rFonts w:hint="eastAsia" w:ascii="宋体" w:hAnsi="宋体" w:cs="宋体"/>
                <w:kern w:val="0"/>
                <w:sz w:val="15"/>
                <w:szCs w:val="15"/>
                <w:highlight w:val="yellow"/>
              </w:rPr>
              <w:t>页码</w:t>
            </w:r>
            <w:r>
              <w:rPr>
                <w:rFonts w:hint="eastAsia" w:ascii="宋体" w:hAnsi="宋体" w:cs="HiddenHorzOCR"/>
                <w:kern w:val="0"/>
                <w:sz w:val="15"/>
                <w:szCs w:val="15"/>
                <w:highlight w:val="yellow"/>
              </w:rPr>
              <w:t>。</w:t>
            </w:r>
          </w:p>
          <w:p>
            <w:pPr>
              <w:spacing w:line="0" w:lineRule="atLeast"/>
              <w:ind w:left="360" w:hanging="360" w:hangingChars="200"/>
              <w:rPr>
                <w:rFonts w:ascii="仿宋" w:hAnsi="仿宋" w:eastAsia="仿宋"/>
                <w:sz w:val="18"/>
                <w:szCs w:val="20"/>
                <w:highlight w:val="yellow"/>
              </w:rPr>
            </w:pPr>
            <w:r>
              <w:rPr>
                <w:rFonts w:hint="eastAsia" w:ascii="仿宋" w:hAnsi="仿宋" w:eastAsia="仿宋"/>
                <w:sz w:val="18"/>
                <w:szCs w:val="20"/>
                <w:highlight w:val="yellow"/>
              </w:rPr>
              <w:t>中文期刊：</w:t>
            </w:r>
          </w:p>
          <w:p>
            <w:pPr>
              <w:spacing w:line="0" w:lineRule="atLeast"/>
              <w:rPr>
                <w:sz w:val="18"/>
                <w:szCs w:val="20"/>
                <w:highlight w:val="yellow"/>
              </w:rPr>
            </w:pPr>
            <w:r>
              <w:rPr>
                <w:rFonts w:hint="eastAsia"/>
                <w:sz w:val="18"/>
                <w:szCs w:val="20"/>
                <w:highlight w:val="yellow"/>
              </w:rPr>
              <w:t>刘艺，“高校被诉引起的行政法思考”,《现代法学》，2001年第二期，93页~9</w:t>
            </w:r>
            <w:r>
              <w:rPr>
                <w:sz w:val="18"/>
                <w:szCs w:val="20"/>
                <w:highlight w:val="yellow"/>
              </w:rPr>
              <w:t>7</w:t>
            </w:r>
            <w:r>
              <w:rPr>
                <w:rFonts w:hint="eastAsia"/>
                <w:sz w:val="18"/>
                <w:szCs w:val="20"/>
                <w:highlight w:val="yellow"/>
              </w:rPr>
              <w:t>页。</w:t>
            </w:r>
          </w:p>
          <w:p>
            <w:pPr>
              <w:spacing w:line="0" w:lineRule="atLeast"/>
              <w:rPr>
                <w:rFonts w:ascii="仿宋" w:hAnsi="仿宋" w:eastAsia="仿宋"/>
                <w:sz w:val="18"/>
                <w:szCs w:val="20"/>
                <w:highlight w:val="yellow"/>
              </w:rPr>
            </w:pPr>
            <w:r>
              <w:rPr>
                <w:rFonts w:hint="eastAsia" w:ascii="仿宋" w:hAnsi="仿宋" w:eastAsia="仿宋"/>
                <w:sz w:val="18"/>
                <w:szCs w:val="20"/>
                <w:highlight w:val="yellow"/>
              </w:rPr>
              <w:t>外文期刊：</w:t>
            </w:r>
          </w:p>
          <w:p>
            <w:pPr>
              <w:spacing w:line="0" w:lineRule="atLeast"/>
              <w:rPr>
                <w:sz w:val="18"/>
                <w:szCs w:val="20"/>
                <w:highlight w:val="yellow"/>
              </w:rPr>
            </w:pPr>
            <w:r>
              <w:rPr>
                <w:sz w:val="18"/>
                <w:szCs w:val="20"/>
                <w:highlight w:val="yellow"/>
              </w:rPr>
              <w:t xml:space="preserve">Smith M. L. Publishing qualitative research, </w:t>
            </w:r>
            <w:r>
              <w:rPr>
                <w:i/>
                <w:iCs/>
                <w:sz w:val="18"/>
                <w:szCs w:val="20"/>
                <w:highlight w:val="yellow"/>
              </w:rPr>
              <w:t>American Educational</w:t>
            </w:r>
            <w:r>
              <w:rPr>
                <w:rFonts w:hint="eastAsia"/>
                <w:i/>
                <w:iCs/>
                <w:sz w:val="18"/>
                <w:szCs w:val="20"/>
                <w:highlight w:val="yellow"/>
              </w:rPr>
              <w:t xml:space="preserve"> </w:t>
            </w:r>
            <w:r>
              <w:rPr>
                <w:i/>
                <w:iCs/>
                <w:sz w:val="18"/>
                <w:szCs w:val="20"/>
                <w:highlight w:val="yellow"/>
              </w:rPr>
              <w:t>Research Journal</w:t>
            </w:r>
            <w:r>
              <w:rPr>
                <w:sz w:val="18"/>
                <w:szCs w:val="20"/>
                <w:highlight w:val="yellow"/>
              </w:rPr>
              <w:t xml:space="preserve"> 24(2),1987,173 -183.</w:t>
            </w:r>
          </w:p>
          <w:p>
            <w:pPr>
              <w:spacing w:line="0" w:lineRule="atLeast"/>
              <w:rPr>
                <w:sz w:val="18"/>
                <w:szCs w:val="20"/>
              </w:rPr>
            </w:pPr>
          </w:p>
          <w:p>
            <w:pPr>
              <w:spacing w:line="0" w:lineRule="atLeast"/>
              <w:rPr>
                <w:sz w:val="18"/>
                <w:szCs w:val="20"/>
              </w:rPr>
            </w:pPr>
            <w:r>
              <w:rPr>
                <w:rFonts w:hint="eastAsia"/>
                <w:sz w:val="18"/>
                <w:szCs w:val="20"/>
              </w:rPr>
              <w:t>郭振华</w:t>
            </w:r>
            <w:r>
              <w:rPr>
                <w:rFonts w:hint="eastAsia"/>
                <w:sz w:val="18"/>
                <w:szCs w:val="20"/>
                <w:lang w:eastAsia="zh-CN"/>
              </w:rPr>
              <w:t>，“</w:t>
            </w:r>
            <w:r>
              <w:rPr>
                <w:rFonts w:hint="eastAsia"/>
                <w:sz w:val="18"/>
                <w:szCs w:val="20"/>
              </w:rPr>
              <w:t>新保险会计准则IFRS17即将带来的重大变革</w:t>
            </w:r>
            <w:r>
              <w:rPr>
                <w:rFonts w:hint="eastAsia"/>
                <w:sz w:val="18"/>
                <w:szCs w:val="20"/>
                <w:lang w:eastAsia="zh-CN"/>
              </w:rPr>
              <w:t>（</w:t>
            </w:r>
            <w:r>
              <w:rPr>
                <w:rFonts w:hint="eastAsia"/>
                <w:sz w:val="18"/>
                <w:szCs w:val="20"/>
                <w:lang w:val="en-US" w:eastAsia="zh-CN"/>
              </w:rPr>
              <w:t>上</w:t>
            </w:r>
            <w:r>
              <w:rPr>
                <w:rFonts w:hint="eastAsia"/>
                <w:sz w:val="18"/>
                <w:szCs w:val="20"/>
                <w:lang w:eastAsia="zh-CN"/>
              </w:rPr>
              <w:t>）”，《</w:t>
            </w:r>
            <w:r>
              <w:rPr>
                <w:rFonts w:hint="eastAsia"/>
                <w:sz w:val="18"/>
                <w:szCs w:val="20"/>
                <w:lang w:val="en-US" w:eastAsia="zh-CN"/>
              </w:rPr>
              <w:t>上海保险</w:t>
            </w:r>
            <w:r>
              <w:rPr>
                <w:rFonts w:hint="eastAsia"/>
                <w:sz w:val="18"/>
                <w:szCs w:val="20"/>
                <w:lang w:eastAsia="zh-CN"/>
              </w:rPr>
              <w:t>》，</w:t>
            </w:r>
            <w:r>
              <w:rPr>
                <w:rFonts w:hint="eastAsia"/>
                <w:sz w:val="18"/>
                <w:szCs w:val="20"/>
              </w:rPr>
              <w:t>201</w:t>
            </w:r>
            <w:r>
              <w:rPr>
                <w:rFonts w:hint="eastAsia"/>
                <w:sz w:val="18"/>
                <w:szCs w:val="20"/>
                <w:lang w:val="en-US" w:eastAsia="zh-CN"/>
              </w:rPr>
              <w:t>8年11月刊</w:t>
            </w:r>
            <w:r>
              <w:rPr>
                <w:rFonts w:hint="eastAsia"/>
                <w:sz w:val="18"/>
                <w:szCs w:val="20"/>
                <w:lang w:eastAsia="zh-CN"/>
              </w:rPr>
              <w:t>，</w:t>
            </w:r>
            <w:r>
              <w:rPr>
                <w:rFonts w:hint="eastAsia"/>
                <w:sz w:val="18"/>
                <w:szCs w:val="20"/>
                <w:lang w:val="en-US" w:eastAsia="zh-CN"/>
              </w:rPr>
              <w:t>19页</w:t>
            </w:r>
            <w:r>
              <w:rPr>
                <w:rFonts w:hint="eastAsia"/>
                <w:sz w:val="18"/>
                <w:szCs w:val="20"/>
              </w:rPr>
              <w:t>~</w:t>
            </w:r>
            <w:r>
              <w:rPr>
                <w:rFonts w:hint="eastAsia"/>
                <w:sz w:val="18"/>
                <w:szCs w:val="20"/>
                <w:lang w:val="en-US" w:eastAsia="zh-CN"/>
              </w:rPr>
              <w:t>22页。</w:t>
            </w:r>
          </w:p>
          <w:p>
            <w:pPr>
              <w:spacing w:line="0" w:lineRule="atLeast"/>
              <w:rPr>
                <w:rFonts w:hint="default" w:eastAsiaTheme="minorEastAsia"/>
                <w:sz w:val="18"/>
                <w:szCs w:val="20"/>
                <w:lang w:val="en-US" w:eastAsia="zh-CN"/>
              </w:rPr>
            </w:pPr>
            <w:r>
              <w:rPr>
                <w:rFonts w:hint="eastAsia"/>
                <w:sz w:val="18"/>
                <w:szCs w:val="20"/>
              </w:rPr>
              <w:t>郭振华</w:t>
            </w:r>
            <w:r>
              <w:rPr>
                <w:rFonts w:hint="eastAsia"/>
                <w:sz w:val="18"/>
                <w:szCs w:val="20"/>
                <w:lang w:eastAsia="zh-CN"/>
              </w:rPr>
              <w:t>，“</w:t>
            </w:r>
            <w:r>
              <w:rPr>
                <w:rFonts w:hint="eastAsia"/>
                <w:sz w:val="18"/>
                <w:szCs w:val="20"/>
              </w:rPr>
              <w:t>新保险会计准则IFRS17即将带来的重大变革</w:t>
            </w:r>
            <w:r>
              <w:rPr>
                <w:rFonts w:hint="eastAsia"/>
                <w:sz w:val="18"/>
                <w:szCs w:val="20"/>
                <w:lang w:eastAsia="zh-CN"/>
              </w:rPr>
              <w:t>（</w:t>
            </w:r>
            <w:r>
              <w:rPr>
                <w:rFonts w:hint="eastAsia"/>
                <w:sz w:val="18"/>
                <w:szCs w:val="20"/>
                <w:lang w:val="en-US" w:eastAsia="zh-CN"/>
              </w:rPr>
              <w:t>下</w:t>
            </w:r>
            <w:r>
              <w:rPr>
                <w:rFonts w:hint="eastAsia"/>
                <w:sz w:val="18"/>
                <w:szCs w:val="20"/>
                <w:lang w:eastAsia="zh-CN"/>
              </w:rPr>
              <w:t>）”，《</w:t>
            </w:r>
            <w:r>
              <w:rPr>
                <w:rFonts w:hint="eastAsia"/>
                <w:sz w:val="18"/>
                <w:szCs w:val="20"/>
                <w:lang w:val="en-US" w:eastAsia="zh-CN"/>
              </w:rPr>
              <w:t>上海保险</w:t>
            </w:r>
            <w:r>
              <w:rPr>
                <w:rFonts w:hint="eastAsia"/>
                <w:sz w:val="18"/>
                <w:szCs w:val="20"/>
                <w:lang w:eastAsia="zh-CN"/>
              </w:rPr>
              <w:t>》，</w:t>
            </w:r>
            <w:r>
              <w:rPr>
                <w:rFonts w:hint="eastAsia"/>
                <w:sz w:val="18"/>
                <w:szCs w:val="20"/>
              </w:rPr>
              <w:t>201</w:t>
            </w:r>
            <w:r>
              <w:rPr>
                <w:rFonts w:hint="eastAsia"/>
                <w:sz w:val="18"/>
                <w:szCs w:val="20"/>
                <w:lang w:val="en-US" w:eastAsia="zh-CN"/>
              </w:rPr>
              <w:t>9年1月刊</w:t>
            </w:r>
            <w:r>
              <w:rPr>
                <w:rFonts w:hint="eastAsia"/>
                <w:sz w:val="18"/>
                <w:szCs w:val="20"/>
                <w:lang w:eastAsia="zh-CN"/>
              </w:rPr>
              <w:t>，</w:t>
            </w:r>
            <w:r>
              <w:rPr>
                <w:rFonts w:hint="eastAsia"/>
                <w:sz w:val="18"/>
                <w:szCs w:val="20"/>
                <w:lang w:val="en-US" w:eastAsia="zh-CN"/>
              </w:rPr>
              <w:t>26页</w:t>
            </w:r>
            <w:r>
              <w:rPr>
                <w:rFonts w:hint="eastAsia"/>
                <w:sz w:val="18"/>
                <w:szCs w:val="20"/>
              </w:rPr>
              <w:t>~</w:t>
            </w:r>
            <w:r>
              <w:rPr>
                <w:rFonts w:hint="eastAsia"/>
                <w:sz w:val="18"/>
                <w:szCs w:val="20"/>
                <w:lang w:val="en-US" w:eastAsia="zh-CN"/>
              </w:rPr>
              <w:t>31页。</w:t>
            </w:r>
          </w:p>
          <w:p>
            <w:pPr>
              <w:spacing w:line="0" w:lineRule="atLeast"/>
              <w:rPr>
                <w:rFonts w:hint="eastAsia" w:eastAsiaTheme="minorEastAsia"/>
                <w:sz w:val="18"/>
                <w:szCs w:val="20"/>
                <w:lang w:eastAsia="zh-CN"/>
              </w:rPr>
            </w:pPr>
            <w:r>
              <w:rPr>
                <w:rFonts w:hint="eastAsia"/>
                <w:sz w:val="18"/>
                <w:szCs w:val="20"/>
              </w:rPr>
              <w:t>黄向阳</w:t>
            </w:r>
            <w:r>
              <w:rPr>
                <w:rFonts w:hint="eastAsia"/>
                <w:sz w:val="18"/>
                <w:szCs w:val="20"/>
                <w:lang w:eastAsia="zh-CN"/>
              </w:rPr>
              <w:t>，“</w:t>
            </w:r>
            <w:r>
              <w:rPr>
                <w:rFonts w:hint="eastAsia"/>
                <w:sz w:val="18"/>
                <w:szCs w:val="20"/>
              </w:rPr>
              <w:t>从寿险精算视角解读 IFRS17 准则</w:t>
            </w:r>
            <w:r>
              <w:rPr>
                <w:rFonts w:hint="eastAsia"/>
                <w:sz w:val="18"/>
                <w:szCs w:val="20"/>
                <w:lang w:eastAsia="zh-CN"/>
              </w:rPr>
              <w:t>”，《</w:t>
            </w:r>
            <w:r>
              <w:rPr>
                <w:rFonts w:hint="eastAsia"/>
                <w:sz w:val="18"/>
                <w:szCs w:val="20"/>
                <w:lang w:val="en-US" w:eastAsia="zh-CN"/>
              </w:rPr>
              <w:t>上海保险</w:t>
            </w:r>
            <w:r>
              <w:rPr>
                <w:rFonts w:hint="eastAsia"/>
                <w:sz w:val="18"/>
                <w:szCs w:val="20"/>
                <w:lang w:eastAsia="zh-CN"/>
              </w:rPr>
              <w:t>》，</w:t>
            </w:r>
            <w:r>
              <w:rPr>
                <w:rFonts w:hint="eastAsia"/>
                <w:sz w:val="18"/>
                <w:szCs w:val="20"/>
              </w:rPr>
              <w:t>201</w:t>
            </w:r>
            <w:r>
              <w:rPr>
                <w:rFonts w:hint="eastAsia"/>
                <w:sz w:val="18"/>
                <w:szCs w:val="20"/>
                <w:lang w:val="en-US" w:eastAsia="zh-CN"/>
              </w:rPr>
              <w:t>9年8月刊</w:t>
            </w:r>
            <w:r>
              <w:rPr>
                <w:rFonts w:hint="eastAsia"/>
                <w:sz w:val="18"/>
                <w:szCs w:val="20"/>
                <w:lang w:eastAsia="zh-CN"/>
              </w:rPr>
              <w:t>，</w:t>
            </w:r>
            <w:r>
              <w:rPr>
                <w:rFonts w:hint="eastAsia"/>
                <w:sz w:val="18"/>
                <w:szCs w:val="20"/>
                <w:lang w:val="en-US" w:eastAsia="zh-CN"/>
              </w:rPr>
              <w:t>9页</w:t>
            </w:r>
            <w:r>
              <w:rPr>
                <w:rFonts w:hint="eastAsia"/>
                <w:sz w:val="18"/>
                <w:szCs w:val="20"/>
              </w:rPr>
              <w:t>~</w:t>
            </w:r>
            <w:r>
              <w:rPr>
                <w:rFonts w:hint="eastAsia"/>
                <w:sz w:val="18"/>
                <w:szCs w:val="20"/>
                <w:lang w:val="en-US" w:eastAsia="zh-CN"/>
              </w:rPr>
              <w:t>16页。</w:t>
            </w:r>
          </w:p>
          <w:p>
            <w:pPr>
              <w:spacing w:line="0" w:lineRule="atLeast"/>
              <w:rPr>
                <w:sz w:val="18"/>
                <w:szCs w:val="20"/>
              </w:rPr>
            </w:pPr>
            <w:r>
              <w:rPr>
                <w:rFonts w:hint="eastAsia"/>
                <w:sz w:val="18"/>
                <w:szCs w:val="20"/>
                <w:lang w:val="en-US" w:eastAsia="zh-CN"/>
              </w:rPr>
              <w:t>赵蕾，刘嘉豪，“新保险会计准则征求意见稿对寿险企业利润计量的影响”，《保险研究》，2019年第5期，55页</w:t>
            </w:r>
            <w:r>
              <w:rPr>
                <w:rFonts w:hint="eastAsia"/>
                <w:sz w:val="18"/>
                <w:szCs w:val="20"/>
              </w:rPr>
              <w:t>~</w:t>
            </w:r>
            <w:r>
              <w:rPr>
                <w:rFonts w:hint="eastAsia"/>
                <w:sz w:val="18"/>
                <w:szCs w:val="20"/>
                <w:lang w:val="en-US" w:eastAsia="zh-CN"/>
              </w:rPr>
              <w:t>68页</w:t>
            </w:r>
          </w:p>
          <w:p>
            <w:pPr>
              <w:spacing w:line="0" w:lineRule="atLeast"/>
              <w:rPr>
                <w:sz w:val="18"/>
                <w:szCs w:val="20"/>
              </w:rPr>
            </w:pPr>
            <w:r>
              <w:rPr>
                <w:rFonts w:hint="eastAsia"/>
                <w:sz w:val="18"/>
                <w:szCs w:val="20"/>
              </w:rPr>
              <w:t xml:space="preserve">3. </w:t>
            </w:r>
            <w:r>
              <w:rPr>
                <w:rFonts w:hint="eastAsia"/>
                <w:color w:val="FF0000"/>
                <w:sz w:val="18"/>
                <w:szCs w:val="20"/>
              </w:rPr>
              <w:t>某本书中的某章或多个作者主编的会议文集</w:t>
            </w:r>
          </w:p>
          <w:p>
            <w:pPr>
              <w:spacing w:line="0" w:lineRule="atLeast"/>
              <w:rPr>
                <w:rFonts w:ascii="宋体" w:hAnsi="宋体" w:cs="HiddenHorzOCR"/>
                <w:kern w:val="0"/>
                <w:sz w:val="15"/>
                <w:szCs w:val="15"/>
                <w:highlight w:val="yellow"/>
              </w:rPr>
            </w:pPr>
            <w:r>
              <w:rPr>
                <w:rFonts w:hint="eastAsia" w:ascii="宋体" w:hAnsi="宋体" w:cs="HiddenHorzOCR"/>
                <w:kern w:val="0"/>
                <w:sz w:val="15"/>
                <w:szCs w:val="15"/>
                <w:highlight w:val="yellow"/>
              </w:rPr>
              <w:t>章的作者、章标题（引号）、主编姓名、书名（英文书用斜体或下划、中文用书名号）、出版地、出版者、页码，出版年。</w:t>
            </w:r>
          </w:p>
          <w:p>
            <w:pPr>
              <w:spacing w:line="0" w:lineRule="atLeast"/>
              <w:ind w:left="360" w:hanging="360" w:hangingChars="200"/>
              <w:rPr>
                <w:rFonts w:ascii="仿宋" w:hAnsi="仿宋" w:eastAsia="仿宋"/>
                <w:sz w:val="18"/>
                <w:szCs w:val="20"/>
                <w:highlight w:val="yellow"/>
              </w:rPr>
            </w:pPr>
            <w:r>
              <w:rPr>
                <w:rFonts w:hint="eastAsia" w:ascii="仿宋" w:hAnsi="仿宋" w:eastAsia="仿宋"/>
                <w:sz w:val="18"/>
                <w:szCs w:val="20"/>
                <w:highlight w:val="yellow"/>
              </w:rPr>
              <w:t>中文内容：</w:t>
            </w:r>
          </w:p>
          <w:p>
            <w:pPr>
              <w:spacing w:line="0" w:lineRule="atLeast"/>
              <w:rPr>
                <w:sz w:val="18"/>
                <w:szCs w:val="20"/>
                <w:highlight w:val="yellow"/>
              </w:rPr>
            </w:pPr>
            <w:r>
              <w:rPr>
                <w:rFonts w:hint="eastAsia"/>
                <w:sz w:val="18"/>
                <w:szCs w:val="20"/>
                <w:highlight w:val="yellow"/>
              </w:rPr>
              <w:t>马怀德，“公务法人问题研究”，劳凯声，《中国教育法制评论》，北京，教育科学出版社，2002,31~42。</w:t>
            </w:r>
          </w:p>
          <w:p>
            <w:pPr>
              <w:spacing w:line="0" w:lineRule="atLeast"/>
              <w:rPr>
                <w:rFonts w:ascii="仿宋" w:hAnsi="仿宋" w:eastAsia="仿宋"/>
                <w:sz w:val="18"/>
                <w:szCs w:val="20"/>
                <w:highlight w:val="yellow"/>
              </w:rPr>
            </w:pPr>
            <w:r>
              <w:rPr>
                <w:rFonts w:hint="eastAsia" w:ascii="仿宋" w:hAnsi="仿宋" w:eastAsia="仿宋"/>
                <w:sz w:val="18"/>
                <w:szCs w:val="20"/>
                <w:highlight w:val="yellow"/>
              </w:rPr>
              <w:t>外文内容：</w:t>
            </w:r>
          </w:p>
          <w:p>
            <w:pPr>
              <w:spacing w:line="0" w:lineRule="atLeast"/>
              <w:rPr>
                <w:sz w:val="18"/>
                <w:szCs w:val="20"/>
                <w:highlight w:val="yellow"/>
              </w:rPr>
            </w:pPr>
            <w:r>
              <w:rPr>
                <w:sz w:val="18"/>
                <w:szCs w:val="20"/>
                <w:highlight w:val="yellow"/>
              </w:rPr>
              <w:t>Wright, P., 1986 "Reactions to an Ads contents versus judgements</w:t>
            </w:r>
            <w:r>
              <w:rPr>
                <w:rFonts w:hint="eastAsia"/>
                <w:sz w:val="18"/>
                <w:szCs w:val="20"/>
                <w:highlight w:val="yellow"/>
              </w:rPr>
              <w:t xml:space="preserve"> </w:t>
            </w:r>
            <w:r>
              <w:rPr>
                <w:sz w:val="18"/>
                <w:szCs w:val="20"/>
                <w:highlight w:val="yellow"/>
              </w:rPr>
              <w:t xml:space="preserve">of Ads impact. ", In: J. Olsen and K. Sentis, eds. </w:t>
            </w:r>
            <w:r>
              <w:rPr>
                <w:i/>
                <w:iCs/>
                <w:sz w:val="18"/>
                <w:szCs w:val="20"/>
                <w:highlight w:val="yellow"/>
              </w:rPr>
              <w:t xml:space="preserve">Advertising </w:t>
            </w:r>
            <w:r>
              <w:rPr>
                <w:rFonts w:hint="eastAsia"/>
                <w:i/>
                <w:iCs/>
                <w:sz w:val="18"/>
                <w:szCs w:val="20"/>
                <w:highlight w:val="yellow"/>
              </w:rPr>
              <w:t>and Consumer Psychology</w:t>
            </w:r>
            <w:r>
              <w:rPr>
                <w:rFonts w:hint="eastAsia"/>
                <w:sz w:val="18"/>
                <w:szCs w:val="20"/>
                <w:highlight w:val="yellow"/>
              </w:rPr>
              <w:t>. Vol. 3. New York: Praeger, 1986, 108</w:t>
            </w:r>
            <w:r>
              <w:rPr>
                <w:sz w:val="18"/>
                <w:szCs w:val="20"/>
                <w:highlight w:val="yellow"/>
              </w:rPr>
              <w:t>~117.</w:t>
            </w:r>
          </w:p>
          <w:p>
            <w:pPr>
              <w:spacing w:line="0" w:lineRule="atLeast"/>
              <w:ind w:firstLine="480"/>
              <w:rPr>
                <w:rFonts w:ascii="仿宋" w:hAnsi="仿宋" w:eastAsia="仿宋"/>
                <w:sz w:val="18"/>
                <w:szCs w:val="20"/>
                <w:highlight w:val="yellow"/>
              </w:rPr>
            </w:pPr>
            <w:r>
              <w:rPr>
                <w:rFonts w:hint="eastAsia" w:ascii="仿宋" w:hAnsi="仿宋" w:eastAsia="仿宋"/>
                <w:sz w:val="18"/>
                <w:szCs w:val="20"/>
                <w:highlight w:val="yellow"/>
              </w:rPr>
              <w:t>＊会议文集增加下列要素：</w:t>
            </w:r>
          </w:p>
          <w:p>
            <w:pPr>
              <w:spacing w:line="0" w:lineRule="atLeast"/>
              <w:ind w:firstLine="480"/>
              <w:rPr>
                <w:rFonts w:ascii="仿宋" w:hAnsi="仿宋" w:eastAsia="仿宋"/>
                <w:sz w:val="18"/>
                <w:szCs w:val="20"/>
                <w:highlight w:val="yellow"/>
              </w:rPr>
            </w:pPr>
            <w:r>
              <w:rPr>
                <w:rFonts w:hint="eastAsia" w:ascii="仿宋" w:hAnsi="仿宋" w:eastAsia="仿宋"/>
                <w:sz w:val="18"/>
                <w:szCs w:val="20"/>
                <w:highlight w:val="yellow"/>
              </w:rPr>
              <w:t>·会议地点、会议日期、会议文集出版单位</w:t>
            </w:r>
          </w:p>
          <w:p>
            <w:pPr>
              <w:spacing w:line="0" w:lineRule="atLeast"/>
              <w:rPr>
                <w:sz w:val="18"/>
                <w:szCs w:val="20"/>
              </w:rPr>
            </w:pPr>
          </w:p>
          <w:p>
            <w:pPr>
              <w:spacing w:line="0" w:lineRule="atLeast"/>
              <w:rPr>
                <w:rFonts w:hint="default" w:eastAsiaTheme="minorEastAsia"/>
                <w:sz w:val="18"/>
                <w:szCs w:val="20"/>
                <w:lang w:val="en-US" w:eastAsia="zh-CN"/>
              </w:rPr>
            </w:pPr>
            <w:r>
              <w:rPr>
                <w:rFonts w:hint="eastAsia"/>
                <w:sz w:val="18"/>
                <w:szCs w:val="20"/>
                <w:lang w:val="en-US" w:eastAsia="zh-CN"/>
              </w:rPr>
              <w:t>周雨，“实施IFRS17对我国寿险公司估值模型的影响及实证研究”，《2019 China International Conference on Insurance and Risk Management 》，成都，2019年7月17日</w:t>
            </w:r>
            <w:r>
              <w:rPr>
                <w:rFonts w:hint="eastAsia"/>
                <w:sz w:val="18"/>
                <w:szCs w:val="20"/>
              </w:rPr>
              <w:t>~</w:t>
            </w:r>
            <w:r>
              <w:rPr>
                <w:rFonts w:hint="eastAsia"/>
                <w:sz w:val="18"/>
                <w:szCs w:val="20"/>
                <w:lang w:val="en-US" w:eastAsia="zh-CN"/>
              </w:rPr>
              <w:t>20日，1037页</w:t>
            </w:r>
            <w:r>
              <w:rPr>
                <w:rFonts w:hint="eastAsia"/>
                <w:sz w:val="18"/>
                <w:szCs w:val="20"/>
                <w:highlight w:val="none"/>
              </w:rPr>
              <w:t>~</w:t>
            </w:r>
            <w:r>
              <w:rPr>
                <w:rFonts w:hint="eastAsia"/>
                <w:sz w:val="18"/>
                <w:szCs w:val="20"/>
                <w:highlight w:val="none"/>
                <w:lang w:val="en-US" w:eastAsia="zh-CN"/>
              </w:rPr>
              <w:t>1057页</w:t>
            </w:r>
          </w:p>
          <w:p>
            <w:pPr>
              <w:spacing w:line="0" w:lineRule="atLeast"/>
              <w:rPr>
                <w:sz w:val="18"/>
                <w:szCs w:val="20"/>
              </w:rPr>
            </w:pPr>
          </w:p>
          <w:p>
            <w:pPr>
              <w:spacing w:line="0" w:lineRule="atLeast"/>
              <w:rPr>
                <w:sz w:val="18"/>
                <w:szCs w:val="20"/>
              </w:rPr>
            </w:pPr>
          </w:p>
          <w:p>
            <w:pPr>
              <w:spacing w:line="0" w:lineRule="atLeast"/>
              <w:rPr>
                <w:sz w:val="18"/>
                <w:szCs w:val="20"/>
              </w:rPr>
            </w:pPr>
            <w:r>
              <w:rPr>
                <w:rFonts w:hint="eastAsia"/>
                <w:sz w:val="18"/>
                <w:szCs w:val="20"/>
              </w:rPr>
              <w:t xml:space="preserve">4. </w:t>
            </w:r>
            <w:r>
              <w:rPr>
                <w:rFonts w:hint="eastAsia"/>
                <w:color w:val="FF0000"/>
                <w:sz w:val="18"/>
                <w:szCs w:val="20"/>
              </w:rPr>
              <w:t>非出版物</w:t>
            </w:r>
          </w:p>
          <w:p>
            <w:pPr>
              <w:spacing w:line="0" w:lineRule="atLeast"/>
              <w:rPr>
                <w:rFonts w:ascii="宋体" w:hAnsi="宋体" w:cs="HiddenHorzOCR"/>
                <w:kern w:val="0"/>
                <w:sz w:val="15"/>
                <w:szCs w:val="15"/>
                <w:highlight w:val="yellow"/>
              </w:rPr>
            </w:pPr>
            <w:r>
              <w:rPr>
                <w:rFonts w:hint="eastAsia" w:ascii="宋体" w:hAnsi="宋体" w:cs="HiddenHorzOCR"/>
                <w:kern w:val="0"/>
                <w:sz w:val="15"/>
                <w:szCs w:val="15"/>
                <w:highlight w:val="yellow"/>
              </w:rPr>
              <w:t>作者姓名、引文标题（斜体或下划）、注明是非出版物，同时注明写作地点，时间。</w:t>
            </w:r>
          </w:p>
          <w:p>
            <w:pPr>
              <w:spacing w:line="0" w:lineRule="atLeast"/>
              <w:rPr>
                <w:rFonts w:ascii="仿宋" w:hAnsi="仿宋" w:eastAsia="仿宋"/>
                <w:sz w:val="18"/>
                <w:szCs w:val="20"/>
                <w:highlight w:val="yellow"/>
              </w:rPr>
            </w:pPr>
            <w:r>
              <w:rPr>
                <w:rFonts w:hint="eastAsia" w:ascii="仿宋" w:hAnsi="仿宋" w:eastAsia="仿宋"/>
                <w:sz w:val="18"/>
                <w:szCs w:val="20"/>
                <w:highlight w:val="yellow"/>
              </w:rPr>
              <w:t>中文内容：</w:t>
            </w:r>
          </w:p>
          <w:p>
            <w:pPr>
              <w:spacing w:line="0" w:lineRule="atLeast"/>
              <w:rPr>
                <w:sz w:val="18"/>
                <w:szCs w:val="20"/>
                <w:highlight w:val="yellow"/>
              </w:rPr>
            </w:pPr>
            <w:r>
              <w:rPr>
                <w:rFonts w:hint="eastAsia"/>
                <w:sz w:val="18"/>
                <w:szCs w:val="20"/>
                <w:highlight w:val="yellow"/>
              </w:rPr>
              <w:t>王常委，“评家用汽车热销”（非出版物），中国人民大学红楼，1996。</w:t>
            </w:r>
          </w:p>
          <w:p>
            <w:pPr>
              <w:spacing w:line="0" w:lineRule="atLeast"/>
              <w:rPr>
                <w:rFonts w:ascii="仿宋" w:hAnsi="仿宋" w:eastAsia="仿宋"/>
                <w:sz w:val="18"/>
                <w:szCs w:val="20"/>
                <w:highlight w:val="yellow"/>
              </w:rPr>
            </w:pPr>
            <w:r>
              <w:rPr>
                <w:rFonts w:hint="eastAsia" w:ascii="仿宋" w:hAnsi="仿宋" w:eastAsia="仿宋"/>
                <w:sz w:val="18"/>
                <w:szCs w:val="20"/>
                <w:highlight w:val="yellow"/>
              </w:rPr>
              <w:t>外文内容：</w:t>
            </w:r>
          </w:p>
          <w:p>
            <w:pPr>
              <w:spacing w:line="0" w:lineRule="atLeast"/>
              <w:rPr>
                <w:sz w:val="18"/>
                <w:szCs w:val="20"/>
                <w:highlight w:val="yellow"/>
              </w:rPr>
            </w:pPr>
            <w:r>
              <w:rPr>
                <w:sz w:val="18"/>
                <w:szCs w:val="20"/>
                <w:highlight w:val="yellow"/>
              </w:rPr>
              <w:t xml:space="preserve">Rignall, M. </w:t>
            </w:r>
            <w:r>
              <w:rPr>
                <w:i/>
                <w:iCs/>
                <w:sz w:val="18"/>
                <w:szCs w:val="20"/>
                <w:highlight w:val="yellow"/>
              </w:rPr>
              <w:t>Oral Narratives in English and Greek</w:t>
            </w:r>
            <w:r>
              <w:rPr>
                <w:sz w:val="18"/>
                <w:szCs w:val="20"/>
                <w:highlight w:val="yellow"/>
              </w:rPr>
              <w:t>. Unpublished MA</w:t>
            </w:r>
            <w:r>
              <w:rPr>
                <w:rFonts w:hint="eastAsia"/>
                <w:sz w:val="18"/>
                <w:szCs w:val="20"/>
                <w:highlight w:val="yellow"/>
              </w:rPr>
              <w:t xml:space="preserve"> </w:t>
            </w:r>
            <w:r>
              <w:rPr>
                <w:sz w:val="18"/>
                <w:szCs w:val="20"/>
                <w:highlight w:val="yellow"/>
              </w:rPr>
              <w:t>thesis(C. A. L. S) University of Reading 1991.</w:t>
            </w:r>
          </w:p>
          <w:p>
            <w:pPr>
              <w:spacing w:line="0" w:lineRule="atLeast"/>
              <w:rPr>
                <w:sz w:val="18"/>
                <w:szCs w:val="20"/>
              </w:rPr>
            </w:pPr>
          </w:p>
          <w:p>
            <w:pPr>
              <w:spacing w:line="0" w:lineRule="atLeast"/>
              <w:rPr>
                <w:rFonts w:hint="default"/>
                <w:sz w:val="18"/>
                <w:szCs w:val="20"/>
                <w:lang w:val="en-US"/>
              </w:rPr>
            </w:pPr>
            <w:r>
              <w:rPr>
                <w:rFonts w:hint="eastAsia"/>
                <w:sz w:val="18"/>
                <w:szCs w:val="20"/>
              </w:rPr>
              <w:t>叶江涛</w:t>
            </w:r>
            <w:r>
              <w:rPr>
                <w:rFonts w:hint="eastAsia"/>
                <w:sz w:val="18"/>
                <w:szCs w:val="20"/>
                <w:lang w:eastAsia="zh-CN"/>
              </w:rPr>
              <w:t>，“</w:t>
            </w:r>
            <w:r>
              <w:rPr>
                <w:rFonts w:hint="eastAsia"/>
                <w:sz w:val="18"/>
                <w:szCs w:val="20"/>
              </w:rPr>
              <w:t>IFRS17准则实施对保险公司经营结果产生的影响及应对</w:t>
            </w:r>
            <w:r>
              <w:rPr>
                <w:rFonts w:hint="eastAsia"/>
                <w:sz w:val="18"/>
                <w:szCs w:val="20"/>
                <w:lang w:eastAsia="zh-CN"/>
              </w:rPr>
              <w:t>（</w:t>
            </w:r>
            <w:r>
              <w:rPr>
                <w:rFonts w:hint="eastAsia"/>
                <w:sz w:val="18"/>
                <w:szCs w:val="20"/>
                <w:lang w:val="en-US" w:eastAsia="zh-CN"/>
              </w:rPr>
              <w:t>非出版物</w:t>
            </w:r>
            <w:r>
              <w:rPr>
                <w:rFonts w:hint="eastAsia"/>
                <w:sz w:val="18"/>
                <w:szCs w:val="20"/>
                <w:lang w:eastAsia="zh-CN"/>
              </w:rPr>
              <w:t>）”，</w:t>
            </w:r>
            <w:r>
              <w:rPr>
                <w:rFonts w:hint="eastAsia"/>
                <w:sz w:val="18"/>
                <w:szCs w:val="20"/>
                <w:lang w:val="en-US" w:eastAsia="zh-CN"/>
              </w:rPr>
              <w:t>长安大学，2021年6月</w:t>
            </w:r>
          </w:p>
          <w:p>
            <w:pPr>
              <w:spacing w:line="0" w:lineRule="atLeast"/>
              <w:rPr>
                <w:sz w:val="18"/>
                <w:szCs w:val="20"/>
              </w:rPr>
            </w:pPr>
          </w:p>
          <w:p>
            <w:pPr>
              <w:spacing w:line="0" w:lineRule="atLeast"/>
              <w:rPr>
                <w:sz w:val="18"/>
                <w:szCs w:val="20"/>
              </w:rPr>
            </w:pPr>
            <w:r>
              <w:rPr>
                <w:rFonts w:hint="eastAsia"/>
                <w:sz w:val="18"/>
                <w:szCs w:val="20"/>
              </w:rPr>
              <w:t xml:space="preserve">5. </w:t>
            </w:r>
            <w:r>
              <w:rPr>
                <w:rFonts w:hint="eastAsia"/>
                <w:color w:val="FF0000"/>
                <w:sz w:val="18"/>
                <w:szCs w:val="20"/>
              </w:rPr>
              <w:t>电子出版物或电子来源的资料</w:t>
            </w:r>
          </w:p>
          <w:p>
            <w:pPr>
              <w:spacing w:line="0" w:lineRule="atLeast"/>
              <w:rPr>
                <w:rFonts w:ascii="宋体" w:hAnsi="宋体" w:cs="HiddenHorzOCR"/>
                <w:kern w:val="0"/>
                <w:sz w:val="15"/>
                <w:szCs w:val="15"/>
                <w:highlight w:val="yellow"/>
              </w:rPr>
            </w:pPr>
            <w:r>
              <w:rPr>
                <w:rFonts w:hint="eastAsia" w:ascii="宋体" w:hAnsi="宋体" w:cs="HiddenHorzOCR"/>
                <w:kern w:val="0"/>
                <w:sz w:val="15"/>
                <w:szCs w:val="15"/>
                <w:highlight w:val="yellow"/>
              </w:rPr>
              <w:t>作者姓名、文章标题（引号）、期刊名（英文用斜体或下划、中文用书名号）、载体类型、卷号和期号、页码或长度、数据库名／URL、检索日期年。</w:t>
            </w:r>
          </w:p>
          <w:p>
            <w:pPr>
              <w:spacing w:line="0" w:lineRule="atLeast"/>
              <w:rPr>
                <w:rFonts w:ascii="仿宋" w:hAnsi="仿宋" w:eastAsia="仿宋"/>
                <w:sz w:val="18"/>
                <w:szCs w:val="20"/>
                <w:highlight w:val="yellow"/>
              </w:rPr>
            </w:pPr>
            <w:r>
              <w:rPr>
                <w:rFonts w:hint="eastAsia" w:ascii="仿宋" w:hAnsi="仿宋" w:eastAsia="仿宋"/>
                <w:sz w:val="18"/>
                <w:szCs w:val="20"/>
                <w:highlight w:val="yellow"/>
              </w:rPr>
              <w:t>中文电子来源：</w:t>
            </w:r>
          </w:p>
          <w:p>
            <w:pPr>
              <w:spacing w:line="0" w:lineRule="atLeast"/>
              <w:rPr>
                <w:sz w:val="18"/>
                <w:szCs w:val="20"/>
                <w:highlight w:val="yellow"/>
              </w:rPr>
            </w:pPr>
            <w:r>
              <w:rPr>
                <w:rFonts w:hint="eastAsia"/>
                <w:sz w:val="18"/>
                <w:szCs w:val="20"/>
                <w:highlight w:val="yellow"/>
              </w:rPr>
              <w:t>温晓莉，“论知识经济社会微观公共权力的法律规则”,《法学》，互联网，200112 11~16，中文期刊数据库，2003年5月1日，2002年。</w:t>
            </w:r>
          </w:p>
          <w:p>
            <w:pPr>
              <w:spacing w:line="0" w:lineRule="atLeast"/>
              <w:rPr>
                <w:rFonts w:ascii="仿宋" w:hAnsi="仿宋" w:eastAsia="仿宋"/>
                <w:sz w:val="18"/>
                <w:szCs w:val="20"/>
                <w:highlight w:val="yellow"/>
              </w:rPr>
            </w:pPr>
            <w:r>
              <w:rPr>
                <w:rFonts w:hint="eastAsia" w:ascii="仿宋" w:hAnsi="仿宋" w:eastAsia="仿宋"/>
                <w:sz w:val="18"/>
                <w:szCs w:val="20"/>
                <w:highlight w:val="yellow"/>
              </w:rPr>
              <w:t>外文电子来源：</w:t>
            </w:r>
          </w:p>
          <w:p>
            <w:pPr>
              <w:spacing w:line="0" w:lineRule="atLeast"/>
              <w:rPr>
                <w:sz w:val="18"/>
                <w:szCs w:val="20"/>
                <w:highlight w:val="yellow"/>
              </w:rPr>
            </w:pPr>
            <w:r>
              <w:rPr>
                <w:sz w:val="18"/>
                <w:szCs w:val="20"/>
                <w:highlight w:val="yellow"/>
              </w:rPr>
              <w:t>CIA.(1997). "Australia". In the World Factbook. [Online].</w:t>
            </w:r>
            <w:r>
              <w:rPr>
                <w:rFonts w:hint="eastAsia"/>
                <w:sz w:val="18"/>
                <w:szCs w:val="20"/>
                <w:highlight w:val="yellow"/>
              </w:rPr>
              <w:t xml:space="preserve"> </w:t>
            </w:r>
            <w:r>
              <w:rPr>
                <w:sz w:val="18"/>
                <w:szCs w:val="20"/>
                <w:highlight w:val="yellow"/>
              </w:rPr>
              <w:t>Available at</w:t>
            </w:r>
            <w:r>
              <w:rPr>
                <w:rFonts w:hint="eastAsia"/>
                <w:sz w:val="18"/>
                <w:szCs w:val="20"/>
                <w:highlight w:val="yellow"/>
              </w:rPr>
              <w:t xml:space="preserve"> http:</w:t>
            </w:r>
            <w:r>
              <w:rPr>
                <w:sz w:val="18"/>
                <w:szCs w:val="20"/>
                <w:highlight w:val="yellow"/>
              </w:rPr>
              <w:t>//</w:t>
            </w:r>
            <w:r>
              <w:rPr>
                <w:rFonts w:hint="eastAsia"/>
                <w:sz w:val="18"/>
                <w:szCs w:val="20"/>
                <w:highlight w:val="yellow"/>
              </w:rPr>
              <w:t>www.odci</w:t>
            </w:r>
            <w:r>
              <w:rPr>
                <w:sz w:val="18"/>
                <w:szCs w:val="20"/>
                <w:highlight w:val="yellow"/>
              </w:rPr>
              <w:t>.</w:t>
            </w:r>
            <w:r>
              <w:rPr>
                <w:rFonts w:hint="eastAsia"/>
                <w:sz w:val="18"/>
                <w:szCs w:val="20"/>
                <w:highlight w:val="yellow"/>
              </w:rPr>
              <w:t>gov</w:t>
            </w:r>
            <w:r>
              <w:rPr>
                <w:sz w:val="18"/>
                <w:szCs w:val="20"/>
                <w:highlight w:val="yellow"/>
              </w:rPr>
              <w:t>/</w:t>
            </w:r>
            <w:r>
              <w:rPr>
                <w:rFonts w:hint="eastAsia"/>
                <w:sz w:val="18"/>
                <w:szCs w:val="20"/>
                <w:highlight w:val="yellow"/>
              </w:rPr>
              <w:t>cia/p</w:t>
            </w:r>
            <w:r>
              <w:rPr>
                <w:sz w:val="18"/>
                <w:szCs w:val="20"/>
                <w:highlight w:val="yellow"/>
              </w:rPr>
              <w:t>ublicaions/factbook/index.html</w:t>
            </w:r>
            <w:r>
              <w:rPr>
                <w:rFonts w:hint="eastAsia"/>
                <w:sz w:val="18"/>
                <w:szCs w:val="20"/>
                <w:highlight w:val="yellow"/>
              </w:rPr>
              <w:t xml:space="preserve"> </w:t>
            </w:r>
            <w:r>
              <w:rPr>
                <w:sz w:val="18"/>
                <w:szCs w:val="20"/>
                <w:highlight w:val="yellow"/>
              </w:rPr>
              <w:t>[1999. January 14].</w:t>
            </w:r>
          </w:p>
          <w:p>
            <w:pPr>
              <w:spacing w:line="0" w:lineRule="atLeast"/>
              <w:rPr>
                <w:sz w:val="18"/>
                <w:szCs w:val="20"/>
              </w:rPr>
            </w:pPr>
          </w:p>
          <w:p>
            <w:pPr>
              <w:spacing w:line="0" w:lineRule="atLeast"/>
              <w:rPr>
                <w:rFonts w:hint="default" w:eastAsiaTheme="minorEastAsia"/>
                <w:sz w:val="18"/>
                <w:szCs w:val="20"/>
                <w:lang w:val="en-US" w:eastAsia="zh-CN"/>
              </w:rPr>
            </w:pPr>
            <w:r>
              <w:rPr>
                <w:rFonts w:hint="eastAsia"/>
                <w:sz w:val="18"/>
                <w:szCs w:val="20"/>
                <w:lang w:val="en-US" w:eastAsia="zh-CN"/>
              </w:rPr>
              <w:t>13个精算师公众号，“IFRS17 渐行渐近，到底跟还是不跟？仍然是个问题！”，2021年12月</w:t>
            </w:r>
          </w:p>
          <w:p>
            <w:pPr>
              <w:spacing w:line="0" w:lineRule="atLeast"/>
              <w:rPr>
                <w:rFonts w:hint="eastAsia"/>
                <w:sz w:val="18"/>
                <w:szCs w:val="20"/>
              </w:rPr>
            </w:pPr>
            <w:r>
              <w:rPr>
                <w:rFonts w:hint="eastAsia"/>
                <w:sz w:val="18"/>
                <w:szCs w:val="20"/>
              </w:rPr>
              <w:t>中华人民共和国财政部会计司</w:t>
            </w:r>
            <w:r>
              <w:rPr>
                <w:rFonts w:hint="eastAsia"/>
                <w:sz w:val="18"/>
                <w:szCs w:val="20"/>
                <w:lang w:eastAsia="zh-CN"/>
              </w:rPr>
              <w:t>，《</w:t>
            </w:r>
            <w:r>
              <w:rPr>
                <w:rFonts w:hint="eastAsia"/>
                <w:sz w:val="18"/>
                <w:szCs w:val="20"/>
              </w:rPr>
              <w:t>企业会计准则第 25 号－原保险合同》</w:t>
            </w:r>
            <w:r>
              <w:rPr>
                <w:rFonts w:hint="eastAsia"/>
                <w:sz w:val="18"/>
                <w:szCs w:val="20"/>
                <w:lang w:eastAsia="zh-CN"/>
              </w:rPr>
              <w:t>，</w:t>
            </w:r>
            <w:r>
              <w:rPr>
                <w:rFonts w:hint="eastAsia"/>
                <w:sz w:val="18"/>
                <w:szCs w:val="20"/>
              </w:rPr>
              <w:t>2006</w:t>
            </w:r>
          </w:p>
          <w:p>
            <w:pPr>
              <w:spacing w:line="0" w:lineRule="atLeast"/>
              <w:rPr>
                <w:rFonts w:hint="eastAsia"/>
                <w:sz w:val="18"/>
                <w:szCs w:val="20"/>
              </w:rPr>
            </w:pPr>
            <w:r>
              <w:rPr>
                <w:rFonts w:hint="eastAsia"/>
                <w:sz w:val="18"/>
                <w:szCs w:val="20"/>
              </w:rPr>
              <w:t>中华人民共和国财政部会计司．《企业会计准则第 26 号－再保险合同》</w:t>
            </w:r>
            <w:r>
              <w:rPr>
                <w:rFonts w:hint="eastAsia"/>
                <w:sz w:val="18"/>
                <w:szCs w:val="20"/>
                <w:lang w:eastAsia="zh-CN"/>
              </w:rPr>
              <w:t>，</w:t>
            </w:r>
            <w:r>
              <w:rPr>
                <w:rFonts w:hint="eastAsia"/>
                <w:sz w:val="18"/>
                <w:szCs w:val="20"/>
              </w:rPr>
              <w:t>2006</w:t>
            </w:r>
          </w:p>
          <w:p>
            <w:pPr>
              <w:spacing w:line="0" w:lineRule="atLeast"/>
              <w:rPr>
                <w:sz w:val="18"/>
                <w:szCs w:val="20"/>
              </w:rPr>
            </w:pPr>
            <w:r>
              <w:rPr>
                <w:rFonts w:hint="eastAsia"/>
                <w:sz w:val="18"/>
                <w:szCs w:val="20"/>
              </w:rPr>
              <w:t>中华人民共和国财政部会计司．《企业会计准则第 30 号－财务报表列报》</w:t>
            </w:r>
            <w:r>
              <w:rPr>
                <w:rFonts w:hint="eastAsia"/>
                <w:sz w:val="18"/>
                <w:szCs w:val="20"/>
                <w:lang w:eastAsia="zh-CN"/>
              </w:rPr>
              <w:t>，</w:t>
            </w:r>
            <w:r>
              <w:rPr>
                <w:rFonts w:hint="eastAsia"/>
                <w:sz w:val="18"/>
                <w:szCs w:val="20"/>
              </w:rPr>
              <w:t>2006</w:t>
            </w:r>
          </w:p>
          <w:p>
            <w:pPr>
              <w:spacing w:line="0" w:lineRule="atLeast"/>
              <w:rPr>
                <w:rFonts w:hint="eastAsia"/>
                <w:sz w:val="18"/>
                <w:szCs w:val="20"/>
                <w:lang w:val="en-US" w:eastAsia="zh-CN"/>
              </w:rPr>
            </w:pPr>
            <w:r>
              <w:rPr>
                <w:rFonts w:hint="eastAsia"/>
                <w:sz w:val="18"/>
                <w:szCs w:val="20"/>
              </w:rPr>
              <w:t>中华人民共和国财政部会计司</w:t>
            </w:r>
            <w:r>
              <w:rPr>
                <w:rFonts w:hint="eastAsia"/>
                <w:sz w:val="18"/>
                <w:szCs w:val="20"/>
                <w:lang w:eastAsia="zh-CN"/>
              </w:rPr>
              <w:t>，《</w:t>
            </w:r>
            <w:r>
              <w:rPr>
                <w:rFonts w:hint="eastAsia"/>
                <w:sz w:val="18"/>
                <w:szCs w:val="20"/>
              </w:rPr>
              <w:t>企业会计准则第 25 号－保险合同》</w:t>
            </w:r>
            <w:r>
              <w:rPr>
                <w:rFonts w:hint="eastAsia"/>
                <w:sz w:val="18"/>
                <w:szCs w:val="20"/>
                <w:lang w:eastAsia="zh-CN"/>
              </w:rPr>
              <w:t>，</w:t>
            </w:r>
            <w:r>
              <w:rPr>
                <w:rFonts w:hint="eastAsia"/>
                <w:sz w:val="18"/>
                <w:szCs w:val="20"/>
              </w:rPr>
              <w:t>20</w:t>
            </w:r>
            <w:r>
              <w:rPr>
                <w:rFonts w:hint="eastAsia"/>
                <w:sz w:val="18"/>
                <w:szCs w:val="20"/>
                <w:lang w:val="en-US" w:eastAsia="zh-CN"/>
              </w:rPr>
              <w:t>20</w:t>
            </w:r>
          </w:p>
          <w:p>
            <w:pPr>
              <w:spacing w:line="0" w:lineRule="atLeast"/>
              <w:rPr>
                <w:rFonts w:hint="default"/>
                <w:sz w:val="18"/>
                <w:szCs w:val="20"/>
                <w:lang w:val="en-US" w:eastAsia="zh-CN"/>
              </w:rPr>
            </w:pPr>
            <w:r>
              <w:rPr>
                <w:rFonts w:hint="default"/>
                <w:sz w:val="18"/>
                <w:szCs w:val="20"/>
                <w:lang w:val="en-US" w:eastAsia="zh-CN"/>
              </w:rPr>
              <w:t>IASB</w:t>
            </w:r>
            <w:r>
              <w:rPr>
                <w:rFonts w:hint="eastAsia"/>
                <w:sz w:val="18"/>
                <w:szCs w:val="20"/>
                <w:lang w:val="en-US" w:eastAsia="zh-CN"/>
              </w:rPr>
              <w:t>，</w:t>
            </w:r>
            <w:r>
              <w:rPr>
                <w:rFonts w:hint="default"/>
                <w:sz w:val="18"/>
                <w:szCs w:val="20"/>
                <w:lang w:val="en-US" w:eastAsia="zh-CN"/>
              </w:rPr>
              <w:t>IFRS 17 Insurance Contrance</w:t>
            </w:r>
            <w:r>
              <w:rPr>
                <w:rFonts w:hint="eastAsia"/>
                <w:sz w:val="18"/>
                <w:szCs w:val="20"/>
                <w:lang w:val="en-US" w:eastAsia="zh-CN"/>
              </w:rPr>
              <w:t>，</w:t>
            </w:r>
            <w:r>
              <w:rPr>
                <w:rFonts w:hint="default"/>
                <w:sz w:val="18"/>
                <w:szCs w:val="20"/>
                <w:lang w:val="en-US" w:eastAsia="zh-CN"/>
              </w:rPr>
              <w:t>2017</w:t>
            </w:r>
          </w:p>
          <w:p>
            <w:pPr>
              <w:spacing w:line="0" w:lineRule="atLeast"/>
              <w:rPr>
                <w:sz w:val="18"/>
                <w:szCs w:val="20"/>
              </w:rPr>
            </w:pPr>
          </w:p>
          <w:p>
            <w:pPr>
              <w:spacing w:line="0" w:lineRule="atLeast"/>
              <w:ind w:firstLine="480"/>
              <w:rPr>
                <w:sz w:val="18"/>
                <w:szCs w:val="20"/>
              </w:rPr>
            </w:pPr>
          </w:p>
          <w:p>
            <w:pPr>
              <w:spacing w:line="0" w:lineRule="atLeast"/>
              <w:rPr>
                <w:sz w:val="18"/>
                <w:szCs w:val="20"/>
              </w:rPr>
            </w:pPr>
            <w:r>
              <w:rPr>
                <w:rFonts w:hint="eastAsia"/>
                <w:sz w:val="18"/>
                <w:szCs w:val="20"/>
              </w:rPr>
              <w:t xml:space="preserve">6. </w:t>
            </w:r>
            <w:r>
              <w:rPr>
                <w:rFonts w:hint="eastAsia"/>
                <w:color w:val="FF0000"/>
                <w:sz w:val="18"/>
                <w:szCs w:val="20"/>
              </w:rPr>
              <w:t>电子论坛的邮件</w:t>
            </w:r>
          </w:p>
          <w:p>
            <w:pPr>
              <w:spacing w:line="0" w:lineRule="atLeast"/>
              <w:rPr>
                <w:rFonts w:ascii="宋体" w:hAnsi="宋体" w:cs="HiddenHorzOCR"/>
                <w:kern w:val="0"/>
                <w:sz w:val="15"/>
                <w:szCs w:val="15"/>
                <w:highlight w:val="yellow"/>
              </w:rPr>
            </w:pPr>
            <w:r>
              <w:rPr>
                <w:rFonts w:hint="eastAsia" w:ascii="宋体" w:hAnsi="宋体" w:cs="HiddenHorzOCR"/>
                <w:kern w:val="0"/>
                <w:sz w:val="15"/>
                <w:szCs w:val="15"/>
                <w:highlight w:val="yellow"/>
              </w:rPr>
              <w:t>作者（年月日)、信件主题（引号）、讨论主题（斜体）、载体类型、电子论坛E-mail地址、检索时间</w:t>
            </w:r>
          </w:p>
          <w:p>
            <w:pPr>
              <w:spacing w:line="0" w:lineRule="atLeast"/>
              <w:rPr>
                <w:rFonts w:ascii="仿宋" w:hAnsi="仿宋" w:eastAsia="仿宋"/>
                <w:sz w:val="18"/>
                <w:szCs w:val="20"/>
                <w:highlight w:val="yellow"/>
              </w:rPr>
            </w:pPr>
            <w:r>
              <w:rPr>
                <w:rFonts w:hint="eastAsia" w:ascii="仿宋" w:hAnsi="仿宋" w:eastAsia="仿宋"/>
                <w:sz w:val="18"/>
                <w:szCs w:val="20"/>
                <w:highlight w:val="yellow"/>
              </w:rPr>
              <w:t>中文邮件：</w:t>
            </w:r>
          </w:p>
          <w:p>
            <w:pPr>
              <w:spacing w:line="0" w:lineRule="atLeast"/>
              <w:rPr>
                <w:sz w:val="18"/>
                <w:szCs w:val="20"/>
                <w:highlight w:val="yellow"/>
              </w:rPr>
            </w:pPr>
            <w:r>
              <w:rPr>
                <w:rFonts w:hint="eastAsia"/>
                <w:sz w:val="18"/>
                <w:szCs w:val="20"/>
                <w:highlight w:val="yellow"/>
              </w:rPr>
              <w:t>王常委，1996年10月12日，“汽车”，评家用汽车热销互联网，writin-dev-h@mailbase.ac.uk，2001年5月4日。</w:t>
            </w:r>
          </w:p>
          <w:p>
            <w:pPr>
              <w:spacing w:line="0" w:lineRule="atLeast"/>
              <w:rPr>
                <w:rFonts w:ascii="仿宋" w:hAnsi="仿宋" w:eastAsia="仿宋"/>
                <w:sz w:val="18"/>
                <w:szCs w:val="20"/>
                <w:highlight w:val="yellow"/>
              </w:rPr>
            </w:pPr>
            <w:r>
              <w:rPr>
                <w:rFonts w:hint="eastAsia" w:ascii="仿宋" w:hAnsi="仿宋" w:eastAsia="仿宋"/>
                <w:sz w:val="18"/>
                <w:szCs w:val="20"/>
                <w:highlight w:val="yellow"/>
              </w:rPr>
              <w:t>外文邮件：</w:t>
            </w:r>
          </w:p>
          <w:p>
            <w:pPr>
              <w:spacing w:line="0" w:lineRule="atLeast"/>
              <w:rPr>
                <w:sz w:val="18"/>
                <w:szCs w:val="20"/>
                <w:highlight w:val="yellow"/>
              </w:rPr>
            </w:pPr>
            <w:r>
              <w:rPr>
                <w:sz w:val="18"/>
                <w:szCs w:val="20"/>
                <w:highlight w:val="yellow"/>
              </w:rPr>
              <w:t>Strivens Janet (1999, March 8). "Essay Writing: Fred Astaire &amp;</w:t>
            </w:r>
            <w:r>
              <w:rPr>
                <w:rFonts w:hint="eastAsia"/>
                <w:sz w:val="18"/>
                <w:szCs w:val="20"/>
                <w:highlight w:val="yellow"/>
              </w:rPr>
              <w:t xml:space="preserve"> </w:t>
            </w:r>
            <w:r>
              <w:rPr>
                <w:sz w:val="18"/>
                <w:szCs w:val="20"/>
                <w:highlight w:val="yellow"/>
              </w:rPr>
              <w:t xml:space="preserve">Gene Kelly". </w:t>
            </w:r>
            <w:r>
              <w:rPr>
                <w:i/>
                <w:iCs/>
                <w:sz w:val="18"/>
                <w:szCs w:val="20"/>
                <w:highlight w:val="yellow"/>
              </w:rPr>
              <w:t xml:space="preserve">Writing Development in Higher Education </w:t>
            </w:r>
            <w:r>
              <w:rPr>
                <w:sz w:val="18"/>
                <w:szCs w:val="20"/>
                <w:highlight w:val="yellow"/>
              </w:rPr>
              <w:t>[Online].</w:t>
            </w:r>
            <w:r>
              <w:rPr>
                <w:rFonts w:hint="eastAsia"/>
                <w:sz w:val="18"/>
                <w:szCs w:val="20"/>
                <w:highlight w:val="yellow"/>
              </w:rPr>
              <w:t xml:space="preserve"> </w:t>
            </w:r>
            <w:r>
              <w:rPr>
                <w:sz w:val="18"/>
                <w:szCs w:val="20"/>
                <w:highlight w:val="yellow"/>
              </w:rPr>
              <w:t>Available E-mail: writin-dev-h @ mailbase. ac. uk [1999</w:t>
            </w:r>
            <w:r>
              <w:rPr>
                <w:rFonts w:hint="eastAsia"/>
                <w:sz w:val="18"/>
                <w:szCs w:val="20"/>
                <w:highlight w:val="yellow"/>
              </w:rPr>
              <w:t>，</w:t>
            </w:r>
            <w:r>
              <w:rPr>
                <w:sz w:val="18"/>
                <w:szCs w:val="20"/>
                <w:highlight w:val="yellow"/>
              </w:rPr>
              <w:t>March12].</w:t>
            </w:r>
          </w:p>
          <w:p>
            <w:pPr>
              <w:rPr>
                <w:rFonts w:ascii="宋体" w:hAnsi="宋体" w:eastAsia="宋体"/>
                <w:sz w:val="24"/>
                <w:szCs w:val="24"/>
              </w:rPr>
            </w:pPr>
          </w:p>
        </w:tc>
      </w:tr>
    </w:tbl>
    <w:p>
      <w:pPr>
        <w:rPr>
          <w:rFonts w:ascii="宋体" w:hAnsi="宋体" w:eastAsia="宋体"/>
          <w:sz w:val="32"/>
          <w:szCs w:val="3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rPr>
                <w:rFonts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w:t>
            </w:r>
            <w:r>
              <w:rPr>
                <w:rFonts w:hint="eastAsia" w:ascii="宋体" w:hAnsi="宋体" w:eastAsia="宋体"/>
                <w:sz w:val="24"/>
              </w:rPr>
              <w:t>实施新保险合同准则对寿险公司利润的影响</w:t>
            </w:r>
            <w:r>
              <w:rPr>
                <w:rFonts w:ascii="宋体" w:hAnsi="宋体" w:eastAsia="宋体"/>
                <w:sz w:val="24"/>
                <w:szCs w:val="24"/>
              </w:rPr>
              <w:t xml:space="preserve"> </w:t>
            </w:r>
          </w:p>
          <w:p>
            <w:pPr>
              <w:rPr>
                <w:rFonts w:ascii="宋体" w:hAnsi="宋体" w:eastAsia="宋体"/>
                <w:sz w:val="24"/>
                <w:szCs w:val="24"/>
              </w:rPr>
            </w:pPr>
          </w:p>
          <w:p>
            <w:pPr>
              <w:rPr>
                <w:rFonts w:hint="default" w:ascii="宋体" w:hAnsi="宋体" w:eastAsia="宋体"/>
                <w:sz w:val="24"/>
                <w:szCs w:val="24"/>
                <w:lang w:val="en-US" w:eastAsia="zh-CN"/>
              </w:rPr>
            </w:pPr>
            <w:r>
              <w:rPr>
                <w:rFonts w:hint="eastAsia" w:ascii="宋体" w:hAnsi="宋体" w:eastAsia="宋体"/>
                <w:sz w:val="24"/>
                <w:szCs w:val="24"/>
                <w:lang w:val="en-US" w:eastAsia="zh-CN"/>
              </w:rPr>
              <w:t>摘要</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Abstract</w:t>
            </w:r>
          </w:p>
          <w:p>
            <w:pPr>
              <w:numPr>
                <w:ilvl w:val="0"/>
                <w:numId w:val="3"/>
              </w:numPr>
              <w:rPr>
                <w:rFonts w:hint="eastAsia" w:ascii="宋体" w:hAnsi="宋体" w:eastAsia="宋体"/>
                <w:sz w:val="24"/>
                <w:szCs w:val="24"/>
                <w:lang w:val="en-US" w:eastAsia="zh-CN"/>
              </w:rPr>
            </w:pPr>
            <w:r>
              <w:rPr>
                <w:rFonts w:hint="eastAsia" w:ascii="宋体" w:hAnsi="宋体" w:eastAsia="宋体"/>
                <w:sz w:val="24"/>
                <w:szCs w:val="24"/>
                <w:lang w:val="en-US" w:eastAsia="zh-CN"/>
              </w:rPr>
              <w:t>绪论</w:t>
            </w:r>
          </w:p>
          <w:p>
            <w:pPr>
              <w:numPr>
                <w:ilvl w:val="0"/>
                <w:numId w:val="0"/>
              </w:num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1.1选题背景和意义</w:t>
            </w:r>
          </w:p>
          <w:p>
            <w:pPr>
              <w:numPr>
                <w:ilvl w:val="0"/>
                <w:numId w:val="0"/>
              </w:num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1.2 研究内容和方法</w:t>
            </w:r>
          </w:p>
          <w:p>
            <w:pPr>
              <w:numPr>
                <w:ilvl w:val="0"/>
                <w:numId w:val="0"/>
              </w:num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1.3 本文的创新点与局限性</w:t>
            </w:r>
            <w:bookmarkStart w:id="1" w:name="_GoBack"/>
            <w:bookmarkEnd w:id="1"/>
          </w:p>
          <w:p>
            <w:pPr>
              <w:rPr>
                <w:rFonts w:hint="eastAsia" w:ascii="宋体" w:hAnsi="宋体" w:eastAsia="宋体"/>
                <w:sz w:val="24"/>
                <w:szCs w:val="24"/>
                <w:lang w:val="en-US" w:eastAsia="zh-CN"/>
              </w:rPr>
            </w:pPr>
            <w:r>
              <w:rPr>
                <w:rFonts w:hint="eastAsia" w:ascii="宋体" w:hAnsi="宋体" w:eastAsia="宋体"/>
                <w:sz w:val="24"/>
                <w:szCs w:val="24"/>
                <w:lang w:val="en-US" w:eastAsia="zh-CN"/>
              </w:rPr>
              <w:t>第2章 文献综述</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2.1 关于保险会计准则发展历程的研究</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2.2 关于新保险合同准则对保险公司影响的研究</w:t>
            </w:r>
          </w:p>
          <w:p>
            <w:pPr>
              <w:ind w:firstLine="480" w:firstLineChars="200"/>
              <w:rPr>
                <w:rFonts w:ascii="宋体" w:hAnsi="宋体" w:eastAsia="宋体"/>
                <w:sz w:val="24"/>
                <w:szCs w:val="24"/>
              </w:rPr>
            </w:pPr>
            <w:r>
              <w:rPr>
                <w:rFonts w:hint="eastAsia" w:ascii="宋体" w:hAnsi="宋体" w:eastAsia="宋体"/>
                <w:sz w:val="24"/>
                <w:szCs w:val="24"/>
                <w:lang w:val="en-US" w:eastAsia="zh-CN"/>
              </w:rPr>
              <w:t>2.3 关于新保险合同准则研究综合评述</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第3章 理论基础与研究假设</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3.1 相关概念</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3.2 理论基础</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3.3 研究假设提出</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第4章 实施新保险合同准则对寿险公司利润影响的实证分析</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4.1 样本选取与数据来源</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4.2 变量定义</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4.3 研究设计</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4.4 实证分析与结果</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第5章 研究结论及对策建议</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5.1 研究结论</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5.2 对策建议</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参考文献</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致谢</w:t>
            </w:r>
          </w:p>
          <w:p>
            <w:pPr>
              <w:rPr>
                <w:rFonts w:hint="default" w:ascii="宋体" w:hAnsi="宋体" w:eastAsia="宋体"/>
                <w:sz w:val="24"/>
                <w:szCs w:val="24"/>
                <w:lang w:val="en-US" w:eastAsia="zh-CN"/>
              </w:rPr>
            </w:pP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iddenHorzOCR">
    <w:altName w:val="Yu Gothic"/>
    <w:panose1 w:val="00000000000000000000"/>
    <w:charset w:val="80"/>
    <w:family w:val="auto"/>
    <w:pitch w:val="default"/>
    <w:sig w:usb0="00000000" w:usb1="00000000" w:usb2="00000010" w:usb3="00000000" w:csb0="00020000" w:csb1="00000000"/>
  </w:font>
  <w:font w:name="Yu Gothic">
    <w:panose1 w:val="020B0400000000000000"/>
    <w:charset w:val="80"/>
    <w:family w:val="swiss"/>
    <w:pitch w:val="default"/>
    <w:sig w:usb0="E00002FF" w:usb1="2AC7FDFF" w:usb2="00000016" w:usb3="00000000" w:csb0="2002009F" w:csb1="00000000"/>
  </w:font>
  <w:font w:name="仿宋">
    <w:panose1 w:val="02010609060101010101"/>
    <w:charset w:val="86"/>
    <w:family w:val="modern"/>
    <w:pitch w:val="default"/>
    <w:sig w:usb0="800002BF" w:usb1="38CF7CFA" w:usb2="00000016" w:usb3="00000000" w:csb0="00040001" w:csb1="00000000"/>
  </w:font>
  <w:font w:name="ËÎÌå">
    <w:altName w:val="Times New Roman"/>
    <w:panose1 w:val="00000000000000000000"/>
    <w:charset w:val="00"/>
    <w:family w:val="swiss"/>
    <w:pitch w:val="default"/>
    <w:sig w:usb0="00000000" w:usb1="00000000" w:usb2="00000000" w:usb3="00000000" w:csb0="00000001" w:csb1="00000000"/>
  </w:font>
  <w:font w:name="AdobeHeitiStd-Regular">
    <w:altName w:val="宋体"/>
    <w:panose1 w:val="00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157661"/>
    <w:multiLevelType w:val="singleLevel"/>
    <w:tmpl w:val="84157661"/>
    <w:lvl w:ilvl="0" w:tentative="0">
      <w:start w:val="1"/>
      <w:numFmt w:val="decimal"/>
      <w:suff w:val="space"/>
      <w:lvlText w:val="第%1章"/>
      <w:lvlJc w:val="left"/>
    </w:lvl>
  </w:abstractNum>
  <w:abstractNum w:abstractNumId="1">
    <w:nsid w:val="18D9D5E1"/>
    <w:multiLevelType w:val="singleLevel"/>
    <w:tmpl w:val="18D9D5E1"/>
    <w:lvl w:ilvl="0" w:tentative="0">
      <w:start w:val="2"/>
      <w:numFmt w:val="decimal"/>
      <w:lvlText w:val="%1."/>
      <w:lvlJc w:val="left"/>
      <w:pPr>
        <w:tabs>
          <w:tab w:val="left" w:pos="312"/>
        </w:tabs>
      </w:pPr>
    </w:lvl>
  </w:abstractNum>
  <w:abstractNum w:abstractNumId="2">
    <w:nsid w:val="19B52AC2"/>
    <w:multiLevelType w:val="singleLevel"/>
    <w:tmpl w:val="19B52AC2"/>
    <w:lvl w:ilvl="0" w:tentative="0">
      <w:start w:val="2"/>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D7272"/>
    <w:rsid w:val="001C5A8D"/>
    <w:rsid w:val="00252F6C"/>
    <w:rsid w:val="0037006F"/>
    <w:rsid w:val="004D5DA9"/>
    <w:rsid w:val="006F4DEA"/>
    <w:rsid w:val="008D0F26"/>
    <w:rsid w:val="00C50C1E"/>
    <w:rsid w:val="00C73A3E"/>
    <w:rsid w:val="00E03F74"/>
    <w:rsid w:val="00F174B7"/>
    <w:rsid w:val="00F66126"/>
    <w:rsid w:val="00F9166F"/>
    <w:rsid w:val="00FA6165"/>
    <w:rsid w:val="08BB4B22"/>
    <w:rsid w:val="0FA51B58"/>
    <w:rsid w:val="1065586F"/>
    <w:rsid w:val="1B625329"/>
    <w:rsid w:val="20F62621"/>
    <w:rsid w:val="24A06F26"/>
    <w:rsid w:val="26F06F60"/>
    <w:rsid w:val="349348C7"/>
    <w:rsid w:val="53EC7B4E"/>
    <w:rsid w:val="551478F2"/>
    <w:rsid w:val="5C976906"/>
    <w:rsid w:val="5DCB6752"/>
    <w:rsid w:val="762950C8"/>
    <w:rsid w:val="77974E53"/>
    <w:rsid w:val="786B1534"/>
    <w:rsid w:val="7FAE6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1"/>
    <w:rPr>
      <w:rFonts w:ascii="宋体" w:hAnsi="宋体" w:eastAsia="宋体" w:cs="宋体"/>
      <w:sz w:val="23"/>
      <w:szCs w:val="23"/>
    </w:r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22"/>
    <w:rPr>
      <w:b/>
    </w:rPr>
  </w:style>
  <w:style w:type="paragraph" w:styleId="10">
    <w:name w:val="List Paragraph"/>
    <w:basedOn w:val="1"/>
    <w:qFormat/>
    <w:uiPriority w:val="34"/>
    <w:pPr>
      <w:ind w:firstLine="420" w:firstLineChars="200"/>
    </w:pPr>
  </w:style>
  <w:style w:type="character" w:customStyle="1" w:styleId="11">
    <w:name w:val="页眉 字符"/>
    <w:basedOn w:val="8"/>
    <w:link w:val="4"/>
    <w:qFormat/>
    <w:uiPriority w:val="99"/>
    <w:rPr>
      <w:sz w:val="18"/>
      <w:szCs w:val="18"/>
    </w:rPr>
  </w:style>
  <w:style w:type="character" w:customStyle="1" w:styleId="12">
    <w:name w:val="页脚 字符"/>
    <w:basedOn w:val="8"/>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337</Words>
  <Characters>1922</Characters>
  <Lines>16</Lines>
  <Paragraphs>4</Paragraphs>
  <TotalTime>60</TotalTime>
  <ScaleCrop>false</ScaleCrop>
  <LinksUpToDate>false</LinksUpToDate>
  <CharactersWithSpaces>2255</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刘延辉</cp:lastModifiedBy>
  <cp:lastPrinted>2021-12-14T10:40:00Z</cp:lastPrinted>
  <dcterms:modified xsi:type="dcterms:W3CDTF">2022-01-13T13:50:23Z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