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91"/>
        <w:gridCol w:w="1059"/>
        <w:gridCol w:w="1119"/>
        <w:gridCol w:w="717"/>
        <w:gridCol w:w="743"/>
        <w:gridCol w:w="761"/>
        <w:gridCol w:w="408"/>
        <w:gridCol w:w="1022"/>
        <w:gridCol w:w="1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71040942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杨超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广州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网络经济学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15017544764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327452305@qq.com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长安大学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道路桥梁与渡河工程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中交横琴投资有限公司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造价主管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ind w:firstLine="480" w:firstLineChars="200"/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虽然我个人本身从事的是工程行业，但也在工程行业中的投资公司中工作。出于对投资有较高的兴趣，日常也较喜欢阅读投资类的相关书籍，适当的投资理财可以让我自己的生活水平得到一定的提升，而进修经济学专业，可以从更高的层面上拓展自己的视野，并在生活、工作、投资上学以致用，因此在论文方向的选择上，打算采用以投资为研究方向。</w:t>
            </w: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</w:p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2016.10-至今 中交横琴投资有限公司</w:t>
            </w:r>
          </w:p>
          <w:p>
            <w:pPr>
              <w:rPr>
                <w:rFonts w:hint="eastAsia" w:ascii="宋体" w:hAnsi="宋体" w:eastAsiaTheme="minorEastAsia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2011.05-2016.10 广东明润工程造价咨询有限公司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是</w:t>
            </w: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4030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自媒体对互联网经济的分析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《商业故事》</w:t>
            </w:r>
            <w:r>
              <w:rPr>
                <w:rFonts w:hint="eastAsia" w:ascii="宋体" w:hAnsi="宋体" w:eastAsia="宋体"/>
                <w:sz w:val="24"/>
                <w:lang w:val="en-US" w:eastAsia="zh-CN"/>
              </w:rPr>
              <w:t xml:space="preserve"> 国内刊号CN50-1185/F 国际刊号ISSN 1673-8160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spacing w:line="360" w:lineRule="auto"/>
              <w:rPr>
                <w:rFonts w:hint="eastAsia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《自媒体对互联网经济的驱动分析》</w:t>
            </w:r>
          </w:p>
          <w:p>
            <w:pPr>
              <w:spacing w:line="360" w:lineRule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lang w:val="en-US" w:eastAsia="zh-CN"/>
              </w:rPr>
              <w:t>随着科学技术的不断发展，互联网技术也得到了广泛的应用，特别是在信息网络领域，人们的生活与工作方式产生了巨大的改变。随着传统媒体已成为过去式，越来越多的自媒体出现在大众的视野中，信息的传播已经不再沿用传统的传播方式，自媒体对互联网经济产生驱动作用，并且在互联网的经济下得到更好的发展。</w:t>
            </w:r>
          </w:p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eastAsia="zh-CN"/>
              </w:rPr>
              <w:t>投资方向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  <w:lang w:val="en-US" w:eastAsia="zh-CN"/>
              </w:rPr>
              <w:t>移动社交网络</w:t>
            </w:r>
            <w:r>
              <w:rPr>
                <w:rFonts w:hint="eastAsia" w:ascii="宋体" w:hAnsi="宋体" w:eastAsia="宋体"/>
                <w:sz w:val="24"/>
                <w:lang w:eastAsia="zh-CN"/>
              </w:rPr>
              <w:t>对可转债投资的影响</w:t>
            </w:r>
            <w:bookmarkStart w:id="0" w:name="_GoBack"/>
            <w:bookmarkEnd w:id="0"/>
          </w:p>
        </w:tc>
      </w:tr>
    </w:tbl>
    <w:p>
      <w:pPr>
        <w:ind w:firstLine="422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D986356"/>
    <w:rsid w:val="1DF71875"/>
    <w:rsid w:val="2518142B"/>
    <w:rsid w:val="25D41B2B"/>
    <w:rsid w:val="267F67D1"/>
    <w:rsid w:val="300D6709"/>
    <w:rsid w:val="3A0B4AF4"/>
    <w:rsid w:val="3DD55B79"/>
    <w:rsid w:val="46C95B1B"/>
    <w:rsid w:val="485A070A"/>
    <w:rsid w:val="4BD20FCE"/>
    <w:rsid w:val="4CD34FFD"/>
    <w:rsid w:val="4EEE15E1"/>
    <w:rsid w:val="550B7AB1"/>
    <w:rsid w:val="63945EB6"/>
    <w:rsid w:val="6BD97BAA"/>
    <w:rsid w:val="6E58315D"/>
    <w:rsid w:val="733D0219"/>
    <w:rsid w:val="7C0F4020"/>
    <w:rsid w:val="7C3A4043"/>
    <w:rsid w:val="7CA5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42</Words>
  <Characters>246</Characters>
  <Lines>2</Lines>
  <Paragraphs>1</Paragraphs>
  <TotalTime>1</TotalTime>
  <ScaleCrop>false</ScaleCrop>
  <LinksUpToDate>false</LinksUpToDate>
  <CharactersWithSpaces>287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2021-01-20T08:38:00Z</dcterms:created>
  <dc:creator>Qi Hang</dc:creator>
  <cp:lastModifiedBy>杨超</cp:lastModifiedBy>
  <dcterms:modified xsi:type="dcterms:W3CDTF">2021-12-27T01:30:42Z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DAAC96A53E0F4FCB94BC6DB7CF55F29F</vt:lpwstr>
  </property>
</Properties>
</file>