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1"/>
        <w:gridCol w:w="1059"/>
        <w:gridCol w:w="1119"/>
        <w:gridCol w:w="717"/>
        <w:gridCol w:w="743"/>
        <w:gridCol w:w="761"/>
        <w:gridCol w:w="408"/>
        <w:gridCol w:w="1022"/>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ind w:firstLine="720" w:firstLineChars="300"/>
              <w:rPr>
                <w:rFonts w:hint="default" w:ascii="宋体" w:hAnsi="宋体" w:eastAsia="宋体"/>
                <w:sz w:val="24"/>
                <w:lang w:val="en-US" w:eastAsia="zh-CN"/>
              </w:rPr>
            </w:pPr>
            <w:r>
              <w:rPr>
                <w:rFonts w:hint="eastAsia" w:ascii="宋体" w:hAnsi="宋体" w:eastAsia="宋体"/>
                <w:sz w:val="24"/>
                <w:lang w:val="en-US" w:eastAsia="zh-CN"/>
              </w:rPr>
              <w:t>81041016</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ind w:firstLine="480" w:firstLineChars="200"/>
              <w:rPr>
                <w:rFonts w:hint="default" w:ascii="宋体" w:hAnsi="宋体" w:eastAsia="宋体"/>
                <w:sz w:val="24"/>
                <w:lang w:val="en-US" w:eastAsia="zh-CN"/>
              </w:rPr>
            </w:pPr>
            <w:r>
              <w:rPr>
                <w:rFonts w:hint="eastAsia" w:ascii="宋体" w:hAnsi="宋体" w:eastAsia="宋体"/>
                <w:sz w:val="24"/>
                <w:lang w:val="en-US" w:eastAsia="zh-CN"/>
              </w:rPr>
              <w:t>钱雪锋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ind w:firstLine="720" w:firstLineChars="300"/>
              <w:rPr>
                <w:rFonts w:hint="eastAsia" w:ascii="宋体" w:hAnsi="宋体" w:eastAsia="宋体"/>
                <w:sz w:val="24"/>
                <w:lang w:val="en-US" w:eastAsia="zh-CN"/>
              </w:rPr>
            </w:pPr>
            <w:r>
              <w:rPr>
                <w:rFonts w:hint="eastAsia" w:ascii="宋体" w:hAnsi="宋体" w:eastAsia="宋体"/>
                <w:sz w:val="24"/>
                <w:lang w:val="en-US" w:eastAsia="zh-CN"/>
              </w:rPr>
              <w:t>上海</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 xml:space="preserve">   企业经济学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 xml:space="preserve">   13817270266</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13817270266@163.com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 xml:space="preserve">  上海外国语大学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 xml:space="preserve">   英语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 xml:space="preserve">  上海盾克机械有限公司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 xml:space="preserve">   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本人本科就读于上海外国语大学，毕业后不久，创办上海盾克机械有限公司，此后一直经营管理盾克公司。上海盾克机械有限公司是一家专业生产，研发，制造，和销售液压油缸和液压系统的实体工厂，我一直关注于中国液压行业在国际市场上的发展前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5000字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浅析中美贸易摩擦升级至贸易战的产生原因及应对措施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ind w:firstLine="240" w:firstLineChars="100"/>
              <w:rPr>
                <w:rFonts w:hint="default" w:ascii="宋体" w:hAnsi="宋体" w:eastAsia="宋体"/>
                <w:sz w:val="24"/>
                <w:lang w:val="en-US" w:eastAsia="zh-CN"/>
              </w:rPr>
            </w:pPr>
            <w:r>
              <w:rPr>
                <w:rFonts w:hint="eastAsia" w:ascii="宋体" w:hAnsi="宋体" w:eastAsia="宋体"/>
                <w:sz w:val="24"/>
                <w:lang w:eastAsia="zh-CN"/>
              </w:rPr>
              <w:t>《</w:t>
            </w:r>
            <w:r>
              <w:rPr>
                <w:rFonts w:hint="eastAsia" w:ascii="宋体" w:hAnsi="宋体" w:eastAsia="宋体"/>
                <w:sz w:val="24"/>
                <w:lang w:val="en-US" w:eastAsia="zh-CN"/>
              </w:rPr>
              <w:t>学海拾贝</w:t>
            </w:r>
            <w:r>
              <w:rPr>
                <w:rFonts w:hint="eastAsia" w:ascii="宋体" w:hAnsi="宋体" w:eastAsia="宋体"/>
                <w:sz w:val="24"/>
                <w:lang w:eastAsia="zh-CN"/>
              </w:rPr>
              <w:t>》</w:t>
            </w:r>
            <w:r>
              <w:rPr>
                <w:rFonts w:hint="eastAsia" w:ascii="宋体" w:hAnsi="宋体" w:eastAsia="宋体"/>
                <w:sz w:val="24"/>
                <w:lang w:val="en-US" w:eastAsia="zh-CN"/>
              </w:rPr>
              <w:t>上海人大人学员论文集（十八）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keepNext w:val="0"/>
              <w:keepLines w:val="0"/>
              <w:pageBreakBefore w:val="0"/>
              <w:widowControl w:val="0"/>
              <w:shd w:val="clear"/>
              <w:kinsoku/>
              <w:wordWrap/>
              <w:overflowPunct/>
              <w:topLinePunct w:val="0"/>
              <w:autoSpaceDE/>
              <w:autoSpaceDN/>
              <w:bidi w:val="0"/>
              <w:adjustRightInd/>
              <w:snapToGrid/>
              <w:spacing w:line="360" w:lineRule="auto"/>
              <w:textAlignment w:val="auto"/>
              <w:rPr>
                <w:rFonts w:ascii="宋体" w:hAnsi="宋体" w:eastAsia="宋体"/>
                <w:sz w:val="24"/>
              </w:rPr>
            </w:pPr>
            <w:r>
              <w:rPr>
                <w:rFonts w:hint="eastAsia" w:ascii="宋体" w:hAnsi="宋体" w:eastAsia="宋体" w:cs="宋体"/>
                <w:color w:val="auto"/>
                <w:kern w:val="3"/>
                <w:sz w:val="24"/>
                <w:szCs w:val="24"/>
                <w:lang w:val="en-US" w:eastAsia="zh-CN"/>
              </w:rPr>
              <w:t>在全球化的进程中，中国的经济飞速发展，中美贸易顺差日益加剧，中美贸易摩擦不断升级成为中美贸易战，备受全球关注。2018年以来，特朗普挑起的中美贸易战持续升级，中国必须清醒地认识到中美贸易战从一开始就注定了它的长期性和复杂性。我们必须了解中美贸易战的现状，产生原因及将来发展趋势，我们必须做好持久战准备并积极应对的同时，通过推动“一带一路”，扩大开放和推动更大一轮改革开放等相应对策，通过中国推动全球化进程和中国维护世界自由贸易和多边机制的努力来赢得世界其他力量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ascii="宋体" w:hAnsi="宋体" w:eastAsia="宋体"/>
                <w:sz w:val="24"/>
              </w:rPr>
            </w:pPr>
            <w:r>
              <w:rPr>
                <w:rFonts w:hint="eastAsia" w:ascii="宋体" w:hAnsi="宋体" w:eastAsia="宋体"/>
                <w:sz w:val="24"/>
              </w:rPr>
              <w:t>《国产化进程政</w:t>
            </w:r>
            <w:bookmarkStart w:id="0" w:name="_GoBack"/>
            <w:bookmarkEnd w:id="0"/>
            <w:r>
              <w:rPr>
                <w:rFonts w:hint="eastAsia" w:ascii="宋体" w:hAnsi="宋体" w:eastAsia="宋体"/>
                <w:sz w:val="24"/>
              </w:rPr>
              <w:t>策导向对液压行业产品生命周期的影响研究》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ascii="宋体" w:hAnsi="宋体" w:eastAsia="宋体"/>
                <w:sz w:val="24"/>
              </w:rPr>
            </w:pPr>
            <w:r>
              <w:rPr>
                <w:rFonts w:hint="eastAsia" w:ascii="宋体" w:hAnsi="宋体" w:eastAsia="宋体"/>
                <w:sz w:val="24"/>
              </w:rPr>
              <w:t>《国产化进程政策导向对液压螺旋摆动油缸产品生命周期的影响研究》</w:t>
            </w:r>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249D473E"/>
    <w:rsid w:val="2FB37CE1"/>
    <w:rsid w:val="363369F5"/>
    <w:rsid w:val="668619BB"/>
    <w:rsid w:val="668E2961"/>
    <w:rsid w:val="6F146B0E"/>
    <w:rsid w:val="75D25C31"/>
    <w:rsid w:val="790C1713"/>
    <w:rsid w:val="7B094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42</Words>
  <Characters>246</Characters>
  <Lines>2</Lines>
  <Paragraphs>1</Paragraphs>
  <TotalTime>1</TotalTime>
  <ScaleCrop>false</ScaleCrop>
  <LinksUpToDate>false</LinksUpToDate>
  <CharactersWithSpaces>287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ASUS</cp:lastModifiedBy>
  <dcterms:modified xsi:type="dcterms:W3CDTF">2021-12-23T10:48:39Z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CAEF3967E1D54A44B1E07EC519060CE0</vt:lpwstr>
  </property>
</Properties>
</file>