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D2E" w:rsidRDefault="00023CEF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A94D2E" w:rsidRDefault="00A94D2E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94D2E">
        <w:trPr>
          <w:trHeight w:val="567"/>
          <w:jc w:val="center"/>
        </w:trPr>
        <w:tc>
          <w:tcPr>
            <w:tcW w:w="2434" w:type="dxa"/>
            <w:vAlign w:val="center"/>
          </w:tcPr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A94D2E" w:rsidRDefault="009E12F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81040125</w:t>
            </w:r>
          </w:p>
        </w:tc>
        <w:tc>
          <w:tcPr>
            <w:tcW w:w="1470" w:type="dxa"/>
            <w:gridSpan w:val="2"/>
            <w:vAlign w:val="center"/>
          </w:tcPr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A94D2E" w:rsidRDefault="009E12F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林健华</w:t>
            </w:r>
          </w:p>
        </w:tc>
      </w:tr>
      <w:tr w:rsidR="00A94D2E">
        <w:trPr>
          <w:trHeight w:val="567"/>
          <w:jc w:val="center"/>
        </w:trPr>
        <w:tc>
          <w:tcPr>
            <w:tcW w:w="2434" w:type="dxa"/>
            <w:vAlign w:val="center"/>
          </w:tcPr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A94D2E" w:rsidRDefault="009E12F0">
            <w:pPr>
              <w:rPr>
                <w:rFonts w:ascii="宋体" w:eastAsia="宋体" w:hAnsi="宋体"/>
                <w:sz w:val="24"/>
              </w:rPr>
            </w:pPr>
            <w:bookmarkStart w:id="0" w:name="_GoBack"/>
            <w:bookmarkEnd w:id="0"/>
            <w:r>
              <w:rPr>
                <w:rFonts w:ascii="宋体" w:eastAsia="宋体" w:hAnsi="宋体"/>
                <w:sz w:val="24"/>
              </w:rPr>
              <w:t>深圳</w:t>
            </w:r>
          </w:p>
        </w:tc>
        <w:tc>
          <w:tcPr>
            <w:tcW w:w="1470" w:type="dxa"/>
            <w:gridSpan w:val="2"/>
            <w:vAlign w:val="center"/>
          </w:tcPr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A94D2E" w:rsidRDefault="00023CE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世界经济</w:t>
            </w:r>
          </w:p>
        </w:tc>
      </w:tr>
      <w:tr w:rsidR="00A94D2E">
        <w:trPr>
          <w:trHeight w:val="567"/>
          <w:jc w:val="center"/>
        </w:trPr>
        <w:tc>
          <w:tcPr>
            <w:tcW w:w="2434" w:type="dxa"/>
            <w:vAlign w:val="center"/>
          </w:tcPr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A94D2E" w:rsidRDefault="00023CE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</w:t>
            </w:r>
            <w:r w:rsidR="009E12F0">
              <w:rPr>
                <w:rFonts w:ascii="宋体" w:eastAsia="宋体" w:hAnsi="宋体" w:hint="eastAsia"/>
                <w:sz w:val="24"/>
              </w:rPr>
              <w:t>8925261485</w:t>
            </w:r>
          </w:p>
        </w:tc>
        <w:tc>
          <w:tcPr>
            <w:tcW w:w="1470" w:type="dxa"/>
            <w:gridSpan w:val="2"/>
            <w:vAlign w:val="center"/>
          </w:tcPr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A94D2E" w:rsidRDefault="009E12F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1966972683</w:t>
            </w:r>
            <w:r w:rsidR="00023CEF">
              <w:rPr>
                <w:rFonts w:ascii="宋体" w:eastAsia="宋体" w:hAnsi="宋体"/>
                <w:sz w:val="24"/>
              </w:rPr>
              <w:t>@qq.com</w:t>
            </w:r>
          </w:p>
        </w:tc>
      </w:tr>
      <w:tr w:rsidR="00A94D2E">
        <w:trPr>
          <w:trHeight w:val="567"/>
          <w:jc w:val="center"/>
        </w:trPr>
        <w:tc>
          <w:tcPr>
            <w:tcW w:w="2434" w:type="dxa"/>
            <w:vAlign w:val="center"/>
          </w:tcPr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A94D2E" w:rsidRDefault="009E12F0" w:rsidP="009E12F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暨南大学</w:t>
            </w:r>
          </w:p>
        </w:tc>
        <w:tc>
          <w:tcPr>
            <w:tcW w:w="1470" w:type="dxa"/>
            <w:gridSpan w:val="2"/>
            <w:vAlign w:val="center"/>
          </w:tcPr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A94D2E" w:rsidRDefault="009E12F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应用物理</w:t>
            </w:r>
          </w:p>
        </w:tc>
      </w:tr>
      <w:tr w:rsidR="00A94D2E">
        <w:trPr>
          <w:trHeight w:val="567"/>
          <w:jc w:val="center"/>
        </w:trPr>
        <w:tc>
          <w:tcPr>
            <w:tcW w:w="2434" w:type="dxa"/>
            <w:vAlign w:val="center"/>
          </w:tcPr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A94D2E" w:rsidRDefault="009E12F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深圳市佳能可投资有限公司</w:t>
            </w:r>
          </w:p>
        </w:tc>
        <w:tc>
          <w:tcPr>
            <w:tcW w:w="1470" w:type="dxa"/>
            <w:gridSpan w:val="2"/>
            <w:vAlign w:val="center"/>
          </w:tcPr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 务</w:t>
            </w:r>
          </w:p>
        </w:tc>
        <w:tc>
          <w:tcPr>
            <w:tcW w:w="2895" w:type="dxa"/>
            <w:gridSpan w:val="3"/>
            <w:vAlign w:val="center"/>
          </w:tcPr>
          <w:p w:rsidR="00A94D2E" w:rsidRDefault="00023CE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经理</w:t>
            </w:r>
          </w:p>
        </w:tc>
      </w:tr>
      <w:tr w:rsidR="00A94D2E">
        <w:trPr>
          <w:trHeight w:val="3520"/>
          <w:jc w:val="center"/>
        </w:trPr>
        <w:tc>
          <w:tcPr>
            <w:tcW w:w="2434" w:type="dxa"/>
            <w:vAlign w:val="center"/>
          </w:tcPr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D05405" w:rsidRDefault="00D0540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01-04年 吴川一中 高中</w:t>
            </w:r>
          </w:p>
          <w:p w:rsidR="00D05405" w:rsidRDefault="00D0540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04-08年 暨南大学 大学</w:t>
            </w:r>
          </w:p>
          <w:p w:rsidR="00A94D2E" w:rsidRDefault="004561B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08-10年 东方证券深南大道营业部 客户经理</w:t>
            </w:r>
          </w:p>
          <w:p w:rsidR="004561B8" w:rsidRDefault="004561B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11-14年 长江证券龙华民旺路营业部 理财经理</w:t>
            </w:r>
          </w:p>
          <w:p w:rsidR="004561B8" w:rsidRDefault="004561B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14-21年 深圳佳佳能可投资有限公司 投资经理</w:t>
            </w:r>
          </w:p>
        </w:tc>
      </w:tr>
      <w:tr w:rsidR="00A94D2E">
        <w:trPr>
          <w:trHeight w:val="567"/>
          <w:jc w:val="center"/>
        </w:trPr>
        <w:tc>
          <w:tcPr>
            <w:tcW w:w="2434" w:type="dxa"/>
            <w:vAlign w:val="center"/>
          </w:tcPr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A94D2E" w:rsidRDefault="009E12F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3000</w:t>
            </w:r>
          </w:p>
        </w:tc>
      </w:tr>
      <w:tr w:rsidR="00A94D2E">
        <w:trPr>
          <w:trHeight w:val="567"/>
          <w:jc w:val="center"/>
        </w:trPr>
        <w:tc>
          <w:tcPr>
            <w:tcW w:w="2434" w:type="dxa"/>
            <w:vAlign w:val="center"/>
          </w:tcPr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A94D2E" w:rsidRDefault="006209C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浅析国内消费升级的意义和建议</w:t>
            </w:r>
          </w:p>
        </w:tc>
      </w:tr>
      <w:tr w:rsidR="00A94D2E">
        <w:trPr>
          <w:trHeight w:val="567"/>
          <w:jc w:val="center"/>
        </w:trPr>
        <w:tc>
          <w:tcPr>
            <w:tcW w:w="2434" w:type="dxa"/>
            <w:vAlign w:val="center"/>
          </w:tcPr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A94D2E" w:rsidRDefault="00023CE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  <w:r w:rsidR="006209C7">
              <w:rPr>
                <w:rFonts w:ascii="宋体" w:eastAsia="宋体" w:hAnsi="宋体" w:hint="eastAsia"/>
                <w:sz w:val="24"/>
              </w:rPr>
              <w:t xml:space="preserve">科技信息 </w:t>
            </w:r>
            <w:r w:rsidR="00B922BA">
              <w:rPr>
                <w:rFonts w:ascii="宋体" w:eastAsia="宋体" w:hAnsi="宋体" w:hint="eastAsia"/>
                <w:sz w:val="24"/>
              </w:rPr>
              <w:t>CN 37-1021/N</w:t>
            </w:r>
          </w:p>
        </w:tc>
      </w:tr>
      <w:tr w:rsidR="00A94D2E">
        <w:trPr>
          <w:trHeight w:val="3426"/>
          <w:jc w:val="center"/>
        </w:trPr>
        <w:tc>
          <w:tcPr>
            <w:tcW w:w="2434" w:type="dxa"/>
            <w:vAlign w:val="center"/>
          </w:tcPr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A94D2E" w:rsidRDefault="00462FEC">
            <w:pPr>
              <w:rPr>
                <w:rFonts w:ascii="宋体" w:eastAsia="宋体" w:hAnsi="宋体"/>
                <w:sz w:val="24"/>
              </w:rPr>
            </w:pPr>
            <w:r w:rsidRPr="00462FEC">
              <w:rPr>
                <w:rFonts w:ascii="宋体" w:eastAsia="宋体" w:hAnsi="宋体" w:hint="eastAsia"/>
                <w:sz w:val="24"/>
              </w:rPr>
              <w:t>随着我国经济的发展，如何推动经济更进一步的增长和可持续性发展，是我国目前面临的一个重要的挑战。众所周知，经济发展的三驾马车，分别是投资、出口和消费。由于新冠疫情常态化，以及贸易地缘政治的原因，同时国内基础设施已经基本完善的国情下，消费成为拉动国内经济发展重中之重。政府部门在十四五规划提出，以内循环为主导的经济消费结构，去拉动经济发展。国内经济内循环最重要一步是消费升级，通过国内产业结构调整和消费升级来提升国家经济发展水平，从而达到经济持续增长，社会稳定高质量发展。</w:t>
            </w:r>
            <w:r w:rsidR="00166148">
              <w:rPr>
                <w:rFonts w:ascii="宋体" w:eastAsia="宋体" w:hAnsi="宋体" w:hint="eastAsia"/>
                <w:sz w:val="24"/>
              </w:rPr>
              <w:t>主要</w:t>
            </w:r>
            <w:r>
              <w:rPr>
                <w:rFonts w:ascii="宋体" w:eastAsia="宋体" w:hAnsi="宋体" w:hint="eastAsia"/>
                <w:sz w:val="24"/>
              </w:rPr>
              <w:t>分析国内</w:t>
            </w:r>
            <w:r w:rsidRPr="00462FEC">
              <w:rPr>
                <w:rFonts w:ascii="宋体" w:eastAsia="宋体" w:hAnsi="宋体" w:hint="eastAsia"/>
                <w:sz w:val="24"/>
              </w:rPr>
              <w:t>消费升级的背景和发展趋势</w:t>
            </w:r>
            <w:r>
              <w:rPr>
                <w:rFonts w:ascii="宋体" w:eastAsia="宋体" w:hAnsi="宋体" w:hint="eastAsia"/>
                <w:sz w:val="24"/>
              </w:rPr>
              <w:t>以及</w:t>
            </w:r>
            <w:r w:rsidRPr="00462FEC">
              <w:rPr>
                <w:rFonts w:ascii="宋体" w:eastAsia="宋体" w:hAnsi="宋体" w:hint="eastAsia"/>
                <w:sz w:val="24"/>
              </w:rPr>
              <w:t>国外消费升级趋向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A94D2E">
        <w:trPr>
          <w:trHeight w:val="567"/>
          <w:jc w:val="center"/>
        </w:trPr>
        <w:tc>
          <w:tcPr>
            <w:tcW w:w="2434" w:type="dxa"/>
            <w:vAlign w:val="center"/>
          </w:tcPr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A94D2E" w:rsidRDefault="00023CEF" w:rsidP="00462F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（在经济学范畴内结合所属专业拟定）</w:t>
            </w:r>
            <w:r w:rsidR="00462FEC">
              <w:rPr>
                <w:rFonts w:ascii="宋体" w:eastAsia="宋体" w:hAnsi="宋体" w:hint="eastAsia"/>
                <w:sz w:val="24"/>
              </w:rPr>
              <w:t>投资经济学</w:t>
            </w:r>
          </w:p>
        </w:tc>
      </w:tr>
      <w:tr w:rsidR="00A94D2E">
        <w:trPr>
          <w:trHeight w:val="567"/>
          <w:jc w:val="center"/>
        </w:trPr>
        <w:tc>
          <w:tcPr>
            <w:tcW w:w="2434" w:type="dxa"/>
            <w:vAlign w:val="center"/>
          </w:tcPr>
          <w:p w:rsidR="00A94D2E" w:rsidRDefault="00023CE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A94D2E" w:rsidRDefault="00023CEF" w:rsidP="0016614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（在经济学范畴内结合所属专业拟定）</w:t>
            </w:r>
            <w:r w:rsidR="00636D09">
              <w:rPr>
                <w:rFonts w:ascii="宋体" w:eastAsia="宋体" w:hAnsi="宋体" w:hint="eastAsia"/>
                <w:sz w:val="24"/>
              </w:rPr>
              <w:t>沪</w:t>
            </w:r>
            <w:r w:rsidR="00356F28">
              <w:rPr>
                <w:rFonts w:ascii="宋体" w:eastAsia="宋体" w:hAnsi="宋体" w:hint="eastAsia"/>
                <w:sz w:val="24"/>
              </w:rPr>
              <w:t>港通</w:t>
            </w:r>
            <w:r w:rsidR="00955F79">
              <w:rPr>
                <w:rFonts w:ascii="宋体" w:eastAsia="宋体" w:hAnsi="宋体" w:hint="eastAsia"/>
                <w:sz w:val="24"/>
              </w:rPr>
              <w:t>对A股市场</w:t>
            </w:r>
            <w:r w:rsidR="00A547C1">
              <w:rPr>
                <w:rFonts w:ascii="宋体" w:eastAsia="宋体" w:hAnsi="宋体" w:hint="eastAsia"/>
                <w:sz w:val="24"/>
              </w:rPr>
              <w:t>持股</w:t>
            </w:r>
            <w:r w:rsidR="00955F79">
              <w:rPr>
                <w:rFonts w:ascii="宋体" w:eastAsia="宋体" w:hAnsi="宋体" w:hint="eastAsia"/>
                <w:sz w:val="24"/>
              </w:rPr>
              <w:t>影响</w:t>
            </w:r>
            <w:r w:rsidR="00B922BA">
              <w:rPr>
                <w:rFonts w:ascii="宋体" w:eastAsia="宋体" w:hAnsi="宋体" w:hint="eastAsia"/>
                <w:sz w:val="24"/>
              </w:rPr>
              <w:t>分析</w:t>
            </w:r>
          </w:p>
        </w:tc>
      </w:tr>
    </w:tbl>
    <w:p w:rsidR="00A94D2E" w:rsidRDefault="00023CEF" w:rsidP="00A94D2E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A94D2E" w:rsidSect="00A94D2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612" w:rsidRDefault="00245612" w:rsidP="009E12F0">
      <w:r>
        <w:separator/>
      </w:r>
    </w:p>
  </w:endnote>
  <w:endnote w:type="continuationSeparator" w:id="1">
    <w:p w:rsidR="00245612" w:rsidRDefault="00245612" w:rsidP="009E12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612" w:rsidRDefault="00245612" w:rsidP="009E12F0">
      <w:r>
        <w:separator/>
      </w:r>
    </w:p>
  </w:footnote>
  <w:footnote w:type="continuationSeparator" w:id="1">
    <w:p w:rsidR="00245612" w:rsidRDefault="00245612" w:rsidP="009E12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DD7"/>
    <w:rsid w:val="DBF71903"/>
    <w:rsid w:val="EB7F1F53"/>
    <w:rsid w:val="F19FAA10"/>
    <w:rsid w:val="FF6D34F6"/>
    <w:rsid w:val="00023CEF"/>
    <w:rsid w:val="000D616E"/>
    <w:rsid w:val="00111AC2"/>
    <w:rsid w:val="00166148"/>
    <w:rsid w:val="001C3791"/>
    <w:rsid w:val="001D4ABC"/>
    <w:rsid w:val="001F2172"/>
    <w:rsid w:val="00245612"/>
    <w:rsid w:val="00290586"/>
    <w:rsid w:val="003032FB"/>
    <w:rsid w:val="00356F28"/>
    <w:rsid w:val="003C213C"/>
    <w:rsid w:val="004561B8"/>
    <w:rsid w:val="00462FEC"/>
    <w:rsid w:val="004638E5"/>
    <w:rsid w:val="00556D05"/>
    <w:rsid w:val="006209C7"/>
    <w:rsid w:val="00636D09"/>
    <w:rsid w:val="006D0631"/>
    <w:rsid w:val="00761113"/>
    <w:rsid w:val="00807310"/>
    <w:rsid w:val="008A62FA"/>
    <w:rsid w:val="00955F79"/>
    <w:rsid w:val="009D0666"/>
    <w:rsid w:val="009E12F0"/>
    <w:rsid w:val="00A32456"/>
    <w:rsid w:val="00A547C1"/>
    <w:rsid w:val="00A94D2E"/>
    <w:rsid w:val="00AB5DD7"/>
    <w:rsid w:val="00B922BA"/>
    <w:rsid w:val="00B9658F"/>
    <w:rsid w:val="00C83008"/>
    <w:rsid w:val="00D05405"/>
    <w:rsid w:val="00F20AD3"/>
    <w:rsid w:val="00FF1C5E"/>
    <w:rsid w:val="1FDB9450"/>
    <w:rsid w:val="2DE47A00"/>
    <w:rsid w:val="3EEBE299"/>
    <w:rsid w:val="5BDA6C41"/>
    <w:rsid w:val="79F77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D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94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94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94D2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94D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112</Words>
  <Characters>641</Characters>
  <Application>Microsoft Office Word</Application>
  <DocSecurity>0</DocSecurity>
  <Lines>5</Lines>
  <Paragraphs>1</Paragraphs>
  <ScaleCrop>false</ScaleCrop>
  <Company>Sky123.Org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Sky123.Org</cp:lastModifiedBy>
  <cp:revision>7</cp:revision>
  <dcterms:created xsi:type="dcterms:W3CDTF">2021-01-23T08:38:00Z</dcterms:created>
  <dcterms:modified xsi:type="dcterms:W3CDTF">2021-12-27T04:24:00Z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