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42EC07D" w:rsidR="00AB5DD7" w:rsidRPr="00AB5DD7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D32388">
              <w:rPr>
                <w:rFonts w:ascii="宋体" w:eastAsia="宋体" w:hAnsi="宋体"/>
                <w:sz w:val="24"/>
              </w:rPr>
              <w:t>81040736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62965A3" w:rsidR="00AB5DD7" w:rsidRPr="00AB5DD7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陈映君</w:t>
            </w:r>
            <w:proofErr w:type="gramEnd"/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77009A3B" w:rsidR="00AB5DD7" w:rsidRPr="00EB4253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EB4253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EB4253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11C2215" w:rsidR="00AB5DD7" w:rsidRPr="00EB4253" w:rsidRDefault="00EB4253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E528C29" w:rsidR="00AB5DD7" w:rsidRPr="00EB4253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1</w:t>
            </w:r>
            <w:r w:rsidRPr="00EB4253">
              <w:rPr>
                <w:rFonts w:ascii="宋体" w:eastAsia="宋体" w:hAnsi="宋体"/>
                <w:sz w:val="24"/>
              </w:rPr>
              <w:t>3652300480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EB4253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EFCFE05" w:rsidR="00AB5DD7" w:rsidRPr="00EB4253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/>
                <w:sz w:val="24"/>
              </w:rPr>
              <w:t>Yingjun_chen@outlook.com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21ECFAB1" w:rsidR="00AB5DD7" w:rsidRPr="00EB4253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北京林业大学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EB4253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4EE884A" w:rsidR="00AB5DD7" w:rsidRPr="00EB4253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 w:rsidRPr="00EB4253">
              <w:rPr>
                <w:rFonts w:ascii="宋体" w:eastAsia="宋体" w:hAnsi="宋体" w:hint="eastAsia"/>
                <w:sz w:val="24"/>
              </w:rPr>
              <w:t>数字媒体艺术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5440D51" w:rsidR="00AB5DD7" w:rsidRPr="00AB5DD7" w:rsidRDefault="00D32388" w:rsidP="005E2B1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华夏银行股份有限公司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77777777" w:rsidR="00AB5DD7" w:rsidRPr="00AB5DD7" w:rsidRDefault="00AB5DD7" w:rsidP="005E2B1C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8EBE1BB" w14:textId="1D4055AA" w:rsidR="00753299" w:rsidRPr="00800B68" w:rsidRDefault="00753299" w:rsidP="00853EAA">
            <w:pPr>
              <w:spacing w:line="276" w:lineRule="auto"/>
              <w:jc w:val="left"/>
              <w:rPr>
                <w:rFonts w:ascii="宋体" w:eastAsia="宋体" w:hAnsi="宋体"/>
                <w:sz w:val="24"/>
              </w:rPr>
            </w:pPr>
            <w:r w:rsidRPr="00800B68">
              <w:rPr>
                <w:rFonts w:ascii="宋体" w:eastAsia="宋体" w:hAnsi="宋体" w:hint="eastAsia"/>
                <w:sz w:val="24"/>
              </w:rPr>
              <w:t>陈映君，</w:t>
            </w:r>
            <w:r w:rsidR="00FB016D" w:rsidRPr="00800B68">
              <w:rPr>
                <w:rFonts w:ascii="宋体" w:eastAsia="宋体" w:hAnsi="宋体" w:hint="eastAsia"/>
                <w:sz w:val="24"/>
              </w:rPr>
              <w:t>女，1</w:t>
            </w:r>
            <w:r w:rsidR="00FB016D" w:rsidRPr="00800B68">
              <w:rPr>
                <w:rFonts w:ascii="宋体" w:eastAsia="宋体" w:hAnsi="宋体"/>
                <w:sz w:val="24"/>
              </w:rPr>
              <w:t>992</w:t>
            </w:r>
            <w:r w:rsidR="00FB016D" w:rsidRPr="00800B68">
              <w:rPr>
                <w:rFonts w:ascii="宋体" w:eastAsia="宋体" w:hAnsi="宋体" w:hint="eastAsia"/>
                <w:sz w:val="24"/>
              </w:rPr>
              <w:t>年生，</w:t>
            </w:r>
            <w:r w:rsidRPr="00800B68">
              <w:rPr>
                <w:rFonts w:ascii="宋体" w:eastAsia="宋体" w:hAnsi="宋体" w:hint="eastAsia"/>
                <w:sz w:val="24"/>
              </w:rPr>
              <w:t>中共党员，2</w:t>
            </w:r>
            <w:r w:rsidRPr="00800B68">
              <w:rPr>
                <w:rFonts w:ascii="宋体" w:eastAsia="宋体" w:hAnsi="宋体"/>
                <w:sz w:val="24"/>
              </w:rPr>
              <w:t>015</w:t>
            </w:r>
            <w:r w:rsidRPr="00800B68">
              <w:rPr>
                <w:rFonts w:ascii="宋体" w:eastAsia="宋体" w:hAnsi="宋体" w:hint="eastAsia"/>
                <w:sz w:val="24"/>
              </w:rPr>
              <w:t>年本科毕业于北京林业大学</w:t>
            </w:r>
            <w:r w:rsidR="00FF719D" w:rsidRPr="00800B68">
              <w:rPr>
                <w:rFonts w:ascii="宋体" w:eastAsia="宋体" w:hAnsi="宋体" w:hint="eastAsia"/>
                <w:sz w:val="24"/>
              </w:rPr>
              <w:t>。曾于</w:t>
            </w:r>
            <w:r w:rsidR="00AE6D52" w:rsidRPr="00800B68">
              <w:rPr>
                <w:rFonts w:ascii="宋体" w:eastAsia="宋体" w:hAnsi="宋体" w:hint="eastAsia"/>
                <w:sz w:val="24"/>
              </w:rPr>
              <w:t>2</w:t>
            </w:r>
            <w:r w:rsidR="00AE6D52" w:rsidRPr="00800B68">
              <w:rPr>
                <w:rFonts w:ascii="宋体" w:eastAsia="宋体" w:hAnsi="宋体"/>
                <w:sz w:val="24"/>
              </w:rPr>
              <w:t>013</w:t>
            </w:r>
            <w:r w:rsidR="00AE6D52" w:rsidRPr="00800B68">
              <w:rPr>
                <w:rFonts w:ascii="宋体" w:eastAsia="宋体" w:hAnsi="宋体" w:hint="eastAsia"/>
                <w:sz w:val="24"/>
              </w:rPr>
              <w:t>年获国家级奖学金，</w:t>
            </w:r>
            <w:r w:rsidR="00F6771B" w:rsidRPr="00800B68">
              <w:rPr>
                <w:rFonts w:ascii="宋体" w:eastAsia="宋体" w:hAnsi="宋体" w:hint="eastAsia"/>
                <w:sz w:val="24"/>
              </w:rPr>
              <w:t>2</w:t>
            </w:r>
            <w:r w:rsidR="00F6771B" w:rsidRPr="00800B68">
              <w:rPr>
                <w:rFonts w:ascii="宋体" w:eastAsia="宋体" w:hAnsi="宋体"/>
                <w:sz w:val="24"/>
              </w:rPr>
              <w:t>014</w:t>
            </w:r>
            <w:r w:rsidR="00F6771B" w:rsidRPr="00800B68">
              <w:rPr>
                <w:rFonts w:ascii="宋体" w:eastAsia="宋体" w:hAnsi="宋体" w:hint="eastAsia"/>
                <w:sz w:val="24"/>
              </w:rPr>
              <w:t>年获校级三好生</w:t>
            </w:r>
            <w:r w:rsidR="00BA14BF" w:rsidRPr="00800B68">
              <w:rPr>
                <w:rFonts w:ascii="宋体" w:eastAsia="宋体" w:hAnsi="宋体" w:hint="eastAsia"/>
                <w:sz w:val="24"/>
              </w:rPr>
              <w:t>，</w:t>
            </w:r>
            <w:r w:rsidR="00AE6D52" w:rsidRPr="00800B68">
              <w:rPr>
                <w:rFonts w:ascii="宋体" w:eastAsia="宋体" w:hAnsi="宋体" w:hint="eastAsia"/>
                <w:sz w:val="24"/>
              </w:rPr>
              <w:t>2</w:t>
            </w:r>
            <w:r w:rsidR="00AE6D52" w:rsidRPr="00800B68">
              <w:rPr>
                <w:rFonts w:ascii="宋体" w:eastAsia="宋体" w:hAnsi="宋体"/>
                <w:sz w:val="24"/>
              </w:rPr>
              <w:t>019</w:t>
            </w:r>
            <w:r w:rsidR="00AE6D52" w:rsidRPr="00800B68">
              <w:rPr>
                <w:rFonts w:ascii="宋体" w:eastAsia="宋体" w:hAnsi="宋体" w:hint="eastAsia"/>
                <w:sz w:val="24"/>
              </w:rPr>
              <w:t>年获中国银行</w:t>
            </w:r>
            <w:proofErr w:type="gramStart"/>
            <w:r w:rsidR="00AE6D52" w:rsidRPr="00800B68">
              <w:rPr>
                <w:rFonts w:ascii="宋体" w:eastAsia="宋体" w:hAnsi="宋体" w:hint="eastAsia"/>
                <w:sz w:val="24"/>
              </w:rPr>
              <w:t>业金融</w:t>
            </w:r>
            <w:proofErr w:type="gramEnd"/>
            <w:r w:rsidR="00AE6D52" w:rsidRPr="00800B68">
              <w:rPr>
                <w:rFonts w:ascii="宋体" w:eastAsia="宋体" w:hAnsi="宋体" w:hint="eastAsia"/>
                <w:sz w:val="24"/>
              </w:rPr>
              <w:t>科技师优秀学员</w:t>
            </w:r>
            <w:r w:rsidR="00BA14BF" w:rsidRPr="00800B68">
              <w:rPr>
                <w:rFonts w:ascii="宋体" w:eastAsia="宋体" w:hAnsi="宋体" w:hint="eastAsia"/>
                <w:sz w:val="24"/>
              </w:rPr>
              <w:t>。工作经历如下：</w:t>
            </w:r>
          </w:p>
          <w:p w14:paraId="3E1D1DBA" w14:textId="300AEE4A" w:rsidR="00853EAA" w:rsidRPr="00800B68" w:rsidRDefault="00853EAA" w:rsidP="00853EAA">
            <w:pPr>
              <w:spacing w:line="276" w:lineRule="auto"/>
              <w:jc w:val="left"/>
              <w:rPr>
                <w:rFonts w:ascii="宋体" w:eastAsia="宋体" w:hAnsi="宋体"/>
                <w:sz w:val="24"/>
              </w:rPr>
            </w:pPr>
            <w:r w:rsidRPr="00800B68">
              <w:rPr>
                <w:rFonts w:ascii="宋体" w:eastAsia="宋体" w:hAnsi="宋体"/>
                <w:sz w:val="24"/>
              </w:rPr>
              <w:t>1.2016.0</w:t>
            </w:r>
            <w:r w:rsidR="00BA14BF" w:rsidRPr="00800B68">
              <w:rPr>
                <w:rFonts w:ascii="宋体" w:eastAsia="宋体" w:hAnsi="宋体"/>
                <w:sz w:val="24"/>
              </w:rPr>
              <w:t>3-</w:t>
            </w:r>
            <w:r w:rsidRPr="00800B68">
              <w:rPr>
                <w:rFonts w:ascii="宋体" w:eastAsia="宋体" w:hAnsi="宋体" w:hint="eastAsia"/>
                <w:sz w:val="24"/>
              </w:rPr>
              <w:t>2</w:t>
            </w:r>
            <w:r w:rsidRPr="00800B68">
              <w:rPr>
                <w:rFonts w:ascii="宋体" w:eastAsia="宋体" w:hAnsi="宋体"/>
                <w:sz w:val="24"/>
              </w:rPr>
              <w:t>020.12</w:t>
            </w:r>
            <w:r w:rsidRPr="00800B68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00B68">
              <w:rPr>
                <w:rFonts w:ascii="宋体" w:eastAsia="宋体" w:hAnsi="宋体"/>
                <w:sz w:val="24"/>
              </w:rPr>
              <w:t xml:space="preserve"> </w:t>
            </w:r>
            <w:r w:rsidRPr="00800B68">
              <w:rPr>
                <w:rFonts w:ascii="宋体" w:eastAsia="宋体" w:hAnsi="宋体" w:hint="eastAsia"/>
                <w:sz w:val="24"/>
              </w:rPr>
              <w:t>华夏银行</w:t>
            </w:r>
            <w:r w:rsidR="00D96635" w:rsidRPr="00800B68">
              <w:rPr>
                <w:rFonts w:ascii="宋体" w:eastAsia="宋体" w:hAnsi="宋体" w:hint="eastAsia"/>
                <w:sz w:val="24"/>
              </w:rPr>
              <w:t>股份有限公司</w:t>
            </w:r>
            <w:r w:rsidRPr="00800B68">
              <w:rPr>
                <w:rFonts w:ascii="宋体" w:eastAsia="宋体" w:hAnsi="宋体" w:hint="eastAsia"/>
                <w:sz w:val="24"/>
              </w:rPr>
              <w:t>深圳分行</w:t>
            </w:r>
            <w:r w:rsidR="00D96635" w:rsidRPr="00800B68">
              <w:rPr>
                <w:rFonts w:ascii="宋体" w:eastAsia="宋体" w:hAnsi="宋体" w:hint="eastAsia"/>
                <w:sz w:val="24"/>
              </w:rPr>
              <w:t xml:space="preserve"> </w:t>
            </w:r>
            <w:r w:rsidR="00D96635" w:rsidRPr="00800B68">
              <w:rPr>
                <w:rFonts w:ascii="宋体" w:eastAsia="宋体" w:hAnsi="宋体"/>
                <w:sz w:val="24"/>
              </w:rPr>
              <w:t xml:space="preserve"> </w:t>
            </w:r>
            <w:r w:rsidRPr="00800B68">
              <w:rPr>
                <w:rFonts w:ascii="宋体" w:eastAsia="宋体" w:hAnsi="宋体" w:hint="eastAsia"/>
                <w:sz w:val="24"/>
              </w:rPr>
              <w:t>产品经理</w:t>
            </w:r>
          </w:p>
          <w:p w14:paraId="6740051A" w14:textId="27F022CB" w:rsidR="00AB5DD7" w:rsidRPr="00853EAA" w:rsidRDefault="00753299" w:rsidP="00AB5DD7">
            <w:pPr>
              <w:rPr>
                <w:rFonts w:ascii="仿宋" w:eastAsia="仿宋" w:hAnsi="仿宋"/>
                <w:sz w:val="24"/>
              </w:rPr>
            </w:pPr>
            <w:r w:rsidRPr="00800B68">
              <w:rPr>
                <w:rFonts w:ascii="宋体" w:eastAsia="宋体" w:hAnsi="宋体"/>
                <w:sz w:val="24"/>
              </w:rPr>
              <w:t>2</w:t>
            </w:r>
            <w:r w:rsidR="00853EAA" w:rsidRPr="00800B68">
              <w:rPr>
                <w:rFonts w:ascii="宋体" w:eastAsia="宋体" w:hAnsi="宋体"/>
                <w:sz w:val="24"/>
              </w:rPr>
              <w:t>.2021.01</w:t>
            </w:r>
            <w:r w:rsidR="00BA14BF" w:rsidRPr="00800B68">
              <w:rPr>
                <w:rFonts w:ascii="宋体" w:eastAsia="宋体" w:hAnsi="宋体"/>
                <w:sz w:val="24"/>
              </w:rPr>
              <w:t>-</w:t>
            </w:r>
            <w:r w:rsidR="00853EAA" w:rsidRPr="00800B68">
              <w:rPr>
                <w:rFonts w:ascii="宋体" w:eastAsia="宋体" w:hAnsi="宋体" w:hint="eastAsia"/>
                <w:sz w:val="24"/>
              </w:rPr>
              <w:t xml:space="preserve">至今 </w:t>
            </w:r>
            <w:r w:rsidR="00853EAA" w:rsidRPr="00800B68">
              <w:rPr>
                <w:rFonts w:ascii="宋体" w:eastAsia="宋体" w:hAnsi="宋体"/>
                <w:sz w:val="24"/>
              </w:rPr>
              <w:t xml:space="preserve"> </w:t>
            </w:r>
            <w:r w:rsidR="00853EAA" w:rsidRPr="00800B68">
              <w:rPr>
                <w:rFonts w:ascii="宋体" w:eastAsia="宋体" w:hAnsi="宋体" w:hint="eastAsia"/>
                <w:sz w:val="24"/>
              </w:rPr>
              <w:t xml:space="preserve">华夏银行股份有限公司 </w:t>
            </w:r>
            <w:r w:rsidR="00853EAA" w:rsidRPr="00800B68">
              <w:rPr>
                <w:rFonts w:ascii="宋体" w:eastAsia="宋体" w:hAnsi="宋体"/>
                <w:sz w:val="24"/>
              </w:rPr>
              <w:t xml:space="preserve"> </w:t>
            </w:r>
            <w:r w:rsidR="00853EAA" w:rsidRPr="00800B68">
              <w:rPr>
                <w:rFonts w:ascii="宋体" w:eastAsia="宋体" w:hAnsi="宋体" w:hint="eastAsia"/>
                <w:sz w:val="24"/>
              </w:rPr>
              <w:t>项目经理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DFE8959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87C55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8B9E96C" w:rsidR="00AB5DD7" w:rsidRPr="00A4633F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4633F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06E58365" w:rsidR="00AB5DD7" w:rsidRPr="00AB5DD7" w:rsidRDefault="00A8679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128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75664E5" w:rsidR="00AB5DD7" w:rsidRPr="00800B68" w:rsidRDefault="004D3B95" w:rsidP="00A4633F">
            <w:pPr>
              <w:jc w:val="left"/>
              <w:rPr>
                <w:rFonts w:ascii="宋体" w:eastAsia="宋体" w:hAnsi="宋体"/>
                <w:sz w:val="24"/>
              </w:rPr>
            </w:pPr>
            <w:r w:rsidRPr="00800B68">
              <w:rPr>
                <w:rFonts w:ascii="宋体" w:eastAsia="宋体" w:hAnsi="宋体" w:hint="eastAsia"/>
                <w:sz w:val="24"/>
              </w:rPr>
              <w:t>从</w:t>
            </w:r>
            <w:proofErr w:type="gramStart"/>
            <w:r w:rsidRPr="00800B68">
              <w:rPr>
                <w:rFonts w:ascii="宋体" w:eastAsia="宋体" w:hAnsi="宋体" w:hint="eastAsia"/>
                <w:sz w:val="24"/>
              </w:rPr>
              <w:t>世界级湾区经济看粤港澳</w:t>
            </w:r>
            <w:proofErr w:type="gramEnd"/>
            <w:r w:rsidRPr="00800B68">
              <w:rPr>
                <w:rFonts w:ascii="宋体" w:eastAsia="宋体" w:hAnsi="宋体" w:hint="eastAsia"/>
                <w:sz w:val="24"/>
              </w:rPr>
              <w:t>大湾区发展重点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24EAE851" w:rsidR="00AB5DD7" w:rsidRPr="00AB5DD7" w:rsidRDefault="004D3B9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《管理创新探索》 ISBN</w:t>
            </w:r>
            <w:r>
              <w:rPr>
                <w:rFonts w:ascii="宋体" w:eastAsia="宋体" w:hAnsi="宋体"/>
                <w:sz w:val="24"/>
              </w:rPr>
              <w:t xml:space="preserve"> 978-75208-1425-6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D373D57" w:rsidR="00A067D5" w:rsidRDefault="00DF617C" w:rsidP="00AC4375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</w:t>
            </w:r>
            <w:r w:rsidR="00FF27E0">
              <w:rPr>
                <w:rFonts w:ascii="宋体" w:eastAsia="宋体" w:hAnsi="宋体" w:hint="eastAsia"/>
                <w:sz w:val="24"/>
              </w:rPr>
              <w:t>东京湾区、纽约湾区</w:t>
            </w:r>
            <w:r w:rsidR="003270B2">
              <w:rPr>
                <w:rFonts w:ascii="宋体" w:eastAsia="宋体" w:hAnsi="宋体" w:hint="eastAsia"/>
                <w:sz w:val="24"/>
              </w:rPr>
              <w:t>及</w:t>
            </w:r>
            <w:r w:rsidR="00FF27E0">
              <w:rPr>
                <w:rFonts w:ascii="宋体" w:eastAsia="宋体" w:hAnsi="宋体" w:hint="eastAsia"/>
                <w:sz w:val="24"/>
              </w:rPr>
              <w:t>旧金山湾区</w:t>
            </w:r>
            <w:r w:rsidR="00E80B48">
              <w:rPr>
                <w:rFonts w:ascii="宋体" w:eastAsia="宋体" w:hAnsi="宋体" w:hint="eastAsia"/>
                <w:sz w:val="24"/>
              </w:rPr>
              <w:t>等</w:t>
            </w:r>
            <w:proofErr w:type="gramStart"/>
            <w:r w:rsidR="00E80B48">
              <w:rPr>
                <w:rFonts w:ascii="宋体" w:eastAsia="宋体" w:hAnsi="宋体" w:hint="eastAsia"/>
                <w:sz w:val="24"/>
              </w:rPr>
              <w:t>世界级湾区</w:t>
            </w:r>
            <w:proofErr w:type="gramEnd"/>
            <w:r w:rsidR="003270B2">
              <w:rPr>
                <w:rFonts w:ascii="宋体" w:eastAsia="宋体" w:hAnsi="宋体" w:hint="eastAsia"/>
                <w:sz w:val="24"/>
              </w:rPr>
              <w:t>的产业结构、创新优势及劳动力素质</w:t>
            </w:r>
            <w:r w:rsidR="00E33DA7">
              <w:rPr>
                <w:rFonts w:ascii="宋体" w:eastAsia="宋体" w:hAnsi="宋体" w:hint="eastAsia"/>
                <w:sz w:val="24"/>
              </w:rPr>
              <w:t>等，</w:t>
            </w:r>
            <w:r w:rsidR="00FC043D">
              <w:rPr>
                <w:rFonts w:ascii="宋体" w:eastAsia="宋体" w:hAnsi="宋体" w:hint="eastAsia"/>
                <w:sz w:val="24"/>
              </w:rPr>
              <w:t>对比</w:t>
            </w:r>
            <w:r w:rsidR="00E33DA7">
              <w:rPr>
                <w:rFonts w:ascii="宋体" w:eastAsia="宋体" w:hAnsi="宋体" w:hint="eastAsia"/>
                <w:sz w:val="24"/>
              </w:rPr>
              <w:t>粤港澳大湾</w:t>
            </w:r>
            <w:proofErr w:type="gramStart"/>
            <w:r w:rsidR="00E33DA7">
              <w:rPr>
                <w:rFonts w:ascii="宋体" w:eastAsia="宋体" w:hAnsi="宋体" w:hint="eastAsia"/>
                <w:sz w:val="24"/>
              </w:rPr>
              <w:t>区优势</w:t>
            </w:r>
            <w:proofErr w:type="gramEnd"/>
            <w:r w:rsidR="00E33DA7">
              <w:rPr>
                <w:rFonts w:ascii="宋体" w:eastAsia="宋体" w:hAnsi="宋体" w:hint="eastAsia"/>
                <w:sz w:val="24"/>
              </w:rPr>
              <w:t>及与前述三</w:t>
            </w:r>
            <w:proofErr w:type="gramStart"/>
            <w:r w:rsidR="00E33DA7">
              <w:rPr>
                <w:rFonts w:ascii="宋体" w:eastAsia="宋体" w:hAnsi="宋体" w:hint="eastAsia"/>
                <w:sz w:val="24"/>
              </w:rPr>
              <w:t>大世界级湾区</w:t>
            </w:r>
            <w:proofErr w:type="gramEnd"/>
            <w:r w:rsidR="00E33DA7">
              <w:rPr>
                <w:rFonts w:ascii="宋体" w:eastAsia="宋体" w:hAnsi="宋体" w:hint="eastAsia"/>
                <w:sz w:val="24"/>
              </w:rPr>
              <w:t>的主要差距，</w:t>
            </w:r>
            <w:r w:rsidR="00FC043D">
              <w:rPr>
                <w:rFonts w:ascii="宋体" w:eastAsia="宋体" w:hAnsi="宋体" w:hint="eastAsia"/>
                <w:sz w:val="24"/>
              </w:rPr>
              <w:t>总结粤港澳大湾区经济特性，提出基础设施、区域协调机制、创新产业等方面发展重点</w:t>
            </w:r>
            <w:r w:rsidR="00C073BB">
              <w:rPr>
                <w:rFonts w:ascii="宋体" w:eastAsia="宋体" w:hAnsi="宋体" w:hint="eastAsia"/>
                <w:sz w:val="24"/>
              </w:rPr>
              <w:t>与建议</w:t>
            </w:r>
            <w:r w:rsidR="00FC043D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784E56EC" w:rsidR="006D0CD5" w:rsidRPr="00AC4375" w:rsidRDefault="0093734D" w:rsidP="00AC4375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E44F6F">
              <w:rPr>
                <w:rFonts w:ascii="宋体" w:eastAsia="宋体" w:hAnsi="宋体" w:hint="eastAsia"/>
                <w:sz w:val="24"/>
              </w:rPr>
              <w:t>随</w:t>
            </w:r>
            <w:r w:rsidRPr="00E44F6F">
              <w:rPr>
                <w:rFonts w:ascii="宋体" w:eastAsia="宋体" w:hAnsi="宋体" w:hint="eastAsia"/>
                <w:sz w:val="24"/>
              </w:rPr>
              <w:t>利率市场化</w:t>
            </w:r>
            <w:r w:rsidRPr="00E44F6F">
              <w:rPr>
                <w:rFonts w:ascii="宋体" w:eastAsia="宋体" w:hAnsi="宋体" w:hint="eastAsia"/>
                <w:sz w:val="24"/>
              </w:rPr>
              <w:t>、</w:t>
            </w:r>
            <w:r w:rsidRPr="00E44F6F">
              <w:rPr>
                <w:rFonts w:ascii="宋体" w:eastAsia="宋体" w:hAnsi="宋体" w:hint="eastAsia"/>
                <w:sz w:val="24"/>
              </w:rPr>
              <w:t>混业经营等金融自由化进程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推进以及</w:t>
            </w:r>
            <w:r w:rsidRPr="00E44F6F">
              <w:rPr>
                <w:rFonts w:ascii="宋体" w:eastAsia="宋体" w:hAnsi="宋体" w:hint="eastAsia"/>
                <w:sz w:val="24"/>
              </w:rPr>
              <w:t>经营环境变化，商业银行</w:t>
            </w:r>
            <w:r w:rsidRPr="00E44F6F">
              <w:rPr>
                <w:rFonts w:ascii="宋体" w:eastAsia="宋体" w:hAnsi="宋体" w:hint="eastAsia"/>
                <w:sz w:val="24"/>
              </w:rPr>
              <w:t>非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利</w:t>
            </w:r>
            <w:r w:rsidRPr="00E44F6F">
              <w:rPr>
                <w:rFonts w:ascii="宋体" w:eastAsia="宋体" w:hAnsi="宋体" w:hint="eastAsia"/>
                <w:sz w:val="24"/>
              </w:rPr>
              <w:t>息</w:t>
            </w:r>
            <w:r w:rsidRPr="00E44F6F">
              <w:rPr>
                <w:rFonts w:ascii="宋体" w:eastAsia="宋体" w:hAnsi="宋体" w:hint="eastAsia"/>
                <w:sz w:val="24"/>
              </w:rPr>
              <w:t>业务</w:t>
            </w:r>
            <w:r w:rsidRPr="00E44F6F">
              <w:rPr>
                <w:rFonts w:ascii="宋体" w:eastAsia="宋体" w:hAnsi="宋体" w:hint="eastAsia"/>
                <w:sz w:val="24"/>
              </w:rPr>
              <w:t>快速</w:t>
            </w:r>
            <w:r w:rsidRPr="00E44F6F">
              <w:rPr>
                <w:rFonts w:ascii="宋体" w:eastAsia="宋体" w:hAnsi="宋体" w:hint="eastAsia"/>
                <w:sz w:val="24"/>
              </w:rPr>
              <w:t>发展。拟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选取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国</w:t>
            </w:r>
            <w:r w:rsidR="00AF1054" w:rsidRPr="00E44F6F">
              <w:rPr>
                <w:rFonts w:ascii="宋体" w:eastAsia="宋体" w:hAnsi="宋体" w:hint="eastAsia"/>
                <w:sz w:val="24"/>
              </w:rPr>
              <w:t>内外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主要商业银行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作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为样本，对比分析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国内外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非利息业务发展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历程、现状以及非利息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收入构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lastRenderedPageBreak/>
              <w:t>成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的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差异等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情况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，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研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究非</w:t>
            </w:r>
            <w:r w:rsidR="00AF1054" w:rsidRPr="00E44F6F">
              <w:rPr>
                <w:rFonts w:ascii="宋体" w:eastAsia="宋体" w:hAnsi="宋体" w:hint="eastAsia"/>
                <w:sz w:val="24"/>
              </w:rPr>
              <w:t>利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息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收入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对国内外</w:t>
            </w:r>
            <w:r w:rsidRPr="00E44F6F">
              <w:rPr>
                <w:rFonts w:ascii="宋体" w:eastAsia="宋体" w:hAnsi="宋体" w:hint="eastAsia"/>
                <w:sz w:val="24"/>
              </w:rPr>
              <w:t>商业银行</w:t>
            </w:r>
            <w:r w:rsidR="00C636A0" w:rsidRPr="00E44F6F">
              <w:rPr>
                <w:rFonts w:ascii="宋体" w:eastAsia="宋体" w:hAnsi="宋体" w:hint="eastAsia"/>
                <w:sz w:val="24"/>
              </w:rPr>
              <w:t>盈利能力</w:t>
            </w:r>
            <w:r w:rsidR="00A067D5" w:rsidRPr="00E44F6F">
              <w:rPr>
                <w:rFonts w:ascii="宋体" w:eastAsia="宋体" w:hAnsi="宋体" w:hint="eastAsia"/>
                <w:sz w:val="24"/>
              </w:rPr>
              <w:t>的</w:t>
            </w:r>
            <w:r w:rsidR="00C04514" w:rsidRPr="00E44F6F">
              <w:rPr>
                <w:rFonts w:ascii="宋体" w:eastAsia="宋体" w:hAnsi="宋体" w:hint="eastAsia"/>
                <w:sz w:val="24"/>
              </w:rPr>
              <w:t>影响</w:t>
            </w:r>
            <w:r w:rsidRPr="00E44F6F">
              <w:rPr>
                <w:rFonts w:ascii="宋体" w:eastAsia="宋体" w:hAnsi="宋体" w:hint="eastAsia"/>
                <w:sz w:val="24"/>
              </w:rPr>
              <w:t>，</w:t>
            </w:r>
            <w:r w:rsidR="00C04514" w:rsidRPr="00E44F6F">
              <w:rPr>
                <w:rFonts w:ascii="宋体" w:eastAsia="宋体" w:hAnsi="宋体"/>
                <w:sz w:val="24"/>
              </w:rPr>
              <w:t>得出实证结论，</w:t>
            </w:r>
            <w:r w:rsidRPr="00E44F6F">
              <w:rPr>
                <w:rFonts w:ascii="宋体" w:eastAsia="宋体" w:hAnsi="宋体" w:hint="eastAsia"/>
                <w:sz w:val="24"/>
              </w:rPr>
              <w:t>探索我国商业银行可借鉴的非</w:t>
            </w:r>
            <w:r w:rsidR="00AF1054" w:rsidRPr="00E44F6F">
              <w:rPr>
                <w:rFonts w:ascii="宋体" w:eastAsia="宋体" w:hAnsi="宋体" w:hint="eastAsia"/>
                <w:sz w:val="24"/>
              </w:rPr>
              <w:t>利</w:t>
            </w:r>
            <w:r w:rsidRPr="00E44F6F">
              <w:rPr>
                <w:rFonts w:ascii="宋体" w:eastAsia="宋体" w:hAnsi="宋体" w:hint="eastAsia"/>
                <w:sz w:val="24"/>
              </w:rPr>
              <w:t>息业务发展模式以及未来非</w:t>
            </w:r>
            <w:proofErr w:type="gramStart"/>
            <w:r w:rsidRPr="00E44F6F">
              <w:rPr>
                <w:rFonts w:ascii="宋体" w:eastAsia="宋体" w:hAnsi="宋体" w:hint="eastAsia"/>
                <w:sz w:val="24"/>
              </w:rPr>
              <w:t>息业务</w:t>
            </w:r>
            <w:proofErr w:type="gramEnd"/>
            <w:r w:rsidRPr="00E44F6F">
              <w:rPr>
                <w:rFonts w:ascii="宋体" w:eastAsia="宋体" w:hAnsi="宋体" w:hint="eastAsia"/>
                <w:sz w:val="24"/>
              </w:rPr>
              <w:t>发展空间。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6100754C" w:rsidR="00AB5DD7" w:rsidRPr="00AB5DD7" w:rsidRDefault="002E52D1" w:rsidP="00AC437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E52D1">
              <w:rPr>
                <w:rFonts w:ascii="宋体" w:eastAsia="宋体" w:hAnsi="宋体" w:cs="宋体" w:hint="eastAsia"/>
                <w:sz w:val="24"/>
                <w:szCs w:val="24"/>
              </w:rPr>
              <w:t>非利息收入对国内外商业银行盈利能力的影响研究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2A02" w14:textId="77777777" w:rsidR="0092118B" w:rsidRDefault="0092118B" w:rsidP="00F20AD3">
      <w:r>
        <w:separator/>
      </w:r>
    </w:p>
  </w:endnote>
  <w:endnote w:type="continuationSeparator" w:id="0">
    <w:p w14:paraId="1DD7E56C" w14:textId="77777777" w:rsidR="0092118B" w:rsidRDefault="0092118B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4F5E" w14:textId="77777777" w:rsidR="0092118B" w:rsidRDefault="0092118B" w:rsidP="00F20AD3">
      <w:r>
        <w:separator/>
      </w:r>
    </w:p>
  </w:footnote>
  <w:footnote w:type="continuationSeparator" w:id="0">
    <w:p w14:paraId="68ADC53A" w14:textId="77777777" w:rsidR="0092118B" w:rsidRDefault="0092118B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23B435"/>
    <w:multiLevelType w:val="singleLevel"/>
    <w:tmpl w:val="D423B43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1590151"/>
    <w:multiLevelType w:val="singleLevel"/>
    <w:tmpl w:val="415901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B60FC"/>
    <w:rsid w:val="000D616E"/>
    <w:rsid w:val="00111AC2"/>
    <w:rsid w:val="001B78C8"/>
    <w:rsid w:val="001C3791"/>
    <w:rsid w:val="001D4ABC"/>
    <w:rsid w:val="001F2172"/>
    <w:rsid w:val="00217865"/>
    <w:rsid w:val="002E52D1"/>
    <w:rsid w:val="003032FB"/>
    <w:rsid w:val="003270B2"/>
    <w:rsid w:val="00343D6E"/>
    <w:rsid w:val="00347616"/>
    <w:rsid w:val="003C213C"/>
    <w:rsid w:val="004337FA"/>
    <w:rsid w:val="004D3B95"/>
    <w:rsid w:val="0051410C"/>
    <w:rsid w:val="00526447"/>
    <w:rsid w:val="00556D05"/>
    <w:rsid w:val="00595D54"/>
    <w:rsid w:val="005E2B1C"/>
    <w:rsid w:val="006D0631"/>
    <w:rsid w:val="006D0CD5"/>
    <w:rsid w:val="006D6FF4"/>
    <w:rsid w:val="00753299"/>
    <w:rsid w:val="00761113"/>
    <w:rsid w:val="007976F1"/>
    <w:rsid w:val="00800B68"/>
    <w:rsid w:val="008067EF"/>
    <w:rsid w:val="00807310"/>
    <w:rsid w:val="00853EAA"/>
    <w:rsid w:val="0092118B"/>
    <w:rsid w:val="0093734D"/>
    <w:rsid w:val="009C294A"/>
    <w:rsid w:val="009C45AE"/>
    <w:rsid w:val="009D0666"/>
    <w:rsid w:val="009D3809"/>
    <w:rsid w:val="00A067D5"/>
    <w:rsid w:val="00A17C12"/>
    <w:rsid w:val="00A32456"/>
    <w:rsid w:val="00A4633F"/>
    <w:rsid w:val="00A86793"/>
    <w:rsid w:val="00AB5DD7"/>
    <w:rsid w:val="00AC4375"/>
    <w:rsid w:val="00AE58E4"/>
    <w:rsid w:val="00AE6D52"/>
    <w:rsid w:val="00AF1054"/>
    <w:rsid w:val="00BA14BF"/>
    <w:rsid w:val="00C04514"/>
    <w:rsid w:val="00C073BB"/>
    <w:rsid w:val="00C636A0"/>
    <w:rsid w:val="00CB7428"/>
    <w:rsid w:val="00D32388"/>
    <w:rsid w:val="00D96635"/>
    <w:rsid w:val="00DB3AC6"/>
    <w:rsid w:val="00DF617C"/>
    <w:rsid w:val="00E33DA7"/>
    <w:rsid w:val="00E44F6F"/>
    <w:rsid w:val="00E5611D"/>
    <w:rsid w:val="00E77185"/>
    <w:rsid w:val="00E80B48"/>
    <w:rsid w:val="00EB4253"/>
    <w:rsid w:val="00F20AD3"/>
    <w:rsid w:val="00F6771B"/>
    <w:rsid w:val="00F858DA"/>
    <w:rsid w:val="00F87C55"/>
    <w:rsid w:val="00FB016D"/>
    <w:rsid w:val="00FC043D"/>
    <w:rsid w:val="00FC2420"/>
    <w:rsid w:val="00FF1C5E"/>
    <w:rsid w:val="00FF27E0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YINGJUN CHEN</cp:lastModifiedBy>
  <cp:revision>68</cp:revision>
  <dcterms:created xsi:type="dcterms:W3CDTF">2021-01-20T08:38:00Z</dcterms:created>
  <dcterms:modified xsi:type="dcterms:W3CDTF">2021-12-23T15:02:00Z</dcterms:modified>
</cp:coreProperties>
</file>