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CN"/>
        </w:rPr>
        <w:t>李淑玉</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91040331</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CN"/>
        </w:rPr>
        <w:t>企业经济学</w:t>
      </w:r>
      <w:r>
        <w:rPr>
          <w:rFonts w:ascii="宋体" w:hAnsi="宋体" w:eastAsia="宋体"/>
          <w:sz w:val="32"/>
          <w:szCs w:val="32"/>
          <w:u w:val="single"/>
        </w:rPr>
        <w:t xml:space="preserve">   </w:t>
      </w:r>
    </w:p>
    <w:p>
      <w:pPr>
        <w:spacing w:line="720" w:lineRule="auto"/>
        <w:ind w:left="4157" w:leftChars="608" w:hanging="2880" w:hangingChars="900"/>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碳减排政策对电力能源结构投资的影响研究</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2021.12.28</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1.研究背景及目的</w:t>
            </w:r>
          </w:p>
          <w:p>
            <w:pPr>
              <w:keepNext w:val="0"/>
              <w:keepLines w:val="0"/>
              <w:widowControl/>
              <w:suppressLineNumbers w:val="0"/>
              <w:spacing w:line="360" w:lineRule="auto"/>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2009年哥本哈根气候大会上，中国政府提出了基于单位国内生产总值二氧化碳排放(以下简称“碳强度”)约束的一系列减排目标：2020年碳强度比2005年 下降40％--45％。2015年的巴黎气候大会上，中国政府承诺2030年碳强度比 2005年下降60％--65％。另外，中国政府还提出了非化石能源等可再生能源和新 能源发展的目标：即2020年和2030年的非化石能源消费比重分别达到15％和 20％；在《“十三五”控制温室气体排放工作方案》中提出到2020年碳强度比2015 年下降18％。</w:t>
            </w:r>
          </w:p>
          <w:p>
            <w:pPr>
              <w:keepNext w:val="0"/>
              <w:keepLines w:val="0"/>
              <w:widowControl/>
              <w:suppressLineNumbers w:val="0"/>
              <w:spacing w:line="360" w:lineRule="auto"/>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电力部门是中国碳排放总量最大的单一行业，传统的煤炭发电仍占主导地位，碳排放占全国碳排放总量的40%以上，占全世界碳排放总量的15%以上。随着现代经济发展，电能替代加速，部分碳排放从终端用能部门转移到电力行业，电力部门成为最主要的碳排放源。另外，因为电力行业排放数据比较完整，统计体系比较完善，电力行业成为我国实现碳达峰、碳中和目标打头阵的主力军，也是实现双碳目标的关键行业，不仅自己要达峰，而且还要支撑全社会尽早达峰，助力全社会低碳转型。为实现这一目标，政府提出了哪些政策？这些政策对电力能源结构变化有哪些影响？而电力能源结构的变化是否促进了碳减排的目标？通过研究明确这些方面的问题，将明确电力行业今后发展方向和重点，进而保证社会经济可持续发展。</w:t>
            </w:r>
          </w:p>
          <w:p>
            <w:pPr>
              <w:spacing w:line="360" w:lineRule="auto"/>
              <w:rPr>
                <w:rFonts w:hint="eastAsia" w:ascii="宋体" w:hAnsi="宋体" w:eastAsia="宋体"/>
                <w:sz w:val="21"/>
                <w:szCs w:val="21"/>
                <w:lang w:val="en-US" w:eastAsia="zh-CN"/>
              </w:rPr>
            </w:pPr>
            <w:r>
              <w:rPr>
                <w:rFonts w:hint="eastAsia" w:ascii="宋体" w:hAnsi="宋体" w:eastAsia="宋体"/>
                <w:sz w:val="21"/>
                <w:szCs w:val="21"/>
                <w:lang w:val="en-US" w:eastAsia="zh-CN"/>
              </w:rPr>
              <w:t xml:space="preserve">   2.研究意义</w:t>
            </w:r>
          </w:p>
          <w:p>
            <w:pPr>
              <w:keepNext w:val="0"/>
              <w:keepLines w:val="0"/>
              <w:widowControl/>
              <w:suppressLineNumbers w:val="0"/>
              <w:spacing w:line="360" w:lineRule="auto"/>
              <w:ind w:firstLine="210" w:firstLineChars="100"/>
              <w:jc w:val="left"/>
              <w:rPr>
                <w:rFonts w:hint="eastAsia" w:ascii="宋体" w:hAnsi="宋体" w:eastAsia="宋体"/>
                <w:sz w:val="21"/>
                <w:szCs w:val="21"/>
                <w:lang w:val="en-US" w:eastAsia="zh-CN"/>
              </w:rPr>
            </w:pPr>
            <w:r>
              <w:rPr>
                <w:rFonts w:hint="eastAsia" w:ascii="宋体" w:hAnsi="宋体" w:eastAsia="宋体"/>
                <w:sz w:val="21"/>
                <w:szCs w:val="21"/>
                <w:lang w:val="en-US" w:eastAsia="zh-CN"/>
              </w:rPr>
              <w:t>（1） 论文主要对碳排放权交易和碳税两种碳减排政策对电力企业经济效益影响进行研究。在实际经济理论周期内，</w:t>
            </w:r>
            <w:r>
              <w:rPr>
                <w:rFonts w:hint="eastAsia" w:ascii="宋体" w:hAnsi="宋体" w:eastAsia="宋体" w:cs="宋体"/>
                <w:color w:val="000000"/>
                <w:kern w:val="0"/>
                <w:sz w:val="21"/>
                <w:szCs w:val="21"/>
                <w:lang w:val="en-US" w:eastAsia="zh-CN" w:bidi="ar"/>
              </w:rPr>
              <w:t>结合实施碳交易和碳税试点省市电力市场的平衡面板数据与时间序列数据，对碳减试点政策效应的实施现状进行效应分析。 结果表明：碳交易制度中规定的排放配额与碳交易价格影影响企业的成本。当企业碳排放量达到规定的碳排放上限，电力企业若想增加碳排放量，则需从市场上购买排放权，这样企业的边际成本增加，经济效益下降。且当碳排放权价格越高，企业经济效益越低，而拥有高效减排技术的企业受到的影响会相对较低。这种情况下，当企业增加投资时，碳排放权交易市场的交易价格将影响企业投资战略选择，比如企业会更倾向于投资开发创新技术或转型清洁能源消费，如风、光、储能。对电力企业尤其是高耗能和高排放大机组发电企业投资发展方向具有现实意义。</w:t>
            </w:r>
          </w:p>
          <w:p>
            <w:pPr>
              <w:spacing w:line="360" w:lineRule="auto"/>
              <w:rPr>
                <w:rFonts w:hint="default" w:ascii="宋体" w:hAnsi="宋体" w:eastAsia="宋体"/>
                <w:sz w:val="21"/>
                <w:szCs w:val="21"/>
                <w:lang w:val="en-US" w:eastAsia="zh-CN"/>
              </w:rPr>
            </w:pPr>
            <w:r>
              <w:rPr>
                <w:rFonts w:hint="eastAsia" w:ascii="宋体" w:hAnsi="宋体" w:eastAsia="宋体"/>
                <w:sz w:val="21"/>
                <w:szCs w:val="21"/>
                <w:lang w:val="en-US" w:eastAsia="zh-CN"/>
              </w:rPr>
              <w:t xml:space="preserve">  （2）论文通过对碳减排政策试点省市电力市场能源消费结构动态均衡分析。在企业面临外在因素冲击时，转型新能源消费的电力企业微观经济受碳减排政策影响较小，风险偏好型企业受影响较大，能源消费结构的替代缓解了政策对电力企业的经济影响。对政府积极引导企业选取最有能源消费结构组合有理论意义。</w:t>
            </w:r>
          </w:p>
          <w:p>
            <w:pPr>
              <w:rPr>
                <w:rFonts w:ascii="宋体" w:hAnsi="宋体" w:eastAsia="宋体"/>
                <w:sz w:val="24"/>
                <w:szCs w:val="24"/>
              </w:rPr>
            </w:pPr>
          </w:p>
        </w:tc>
      </w:tr>
    </w:tbl>
    <w:p>
      <w:pPr>
        <w:rPr>
          <w:rFonts w:ascii="宋体" w:hAnsi="宋体" w:eastAsia="宋体"/>
          <w:sz w:val="32"/>
          <w:szCs w:val="32"/>
        </w:rPr>
      </w:pP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keepNext w:val="0"/>
              <w:keepLines w:val="0"/>
              <w:widowControl/>
              <w:suppressLineNumbers w:val="0"/>
              <w:spacing w:line="360" w:lineRule="auto"/>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改革开放以来，中国经济经过多年持续高速增长，经济总量跃居世界第二，人均收入也步入了世界中等收入经济体行列。中国作为能源消耗大国的同时，也是二氧化碳和污染物排放最多的国家，在治理全球环境污染和世界温室气体减排的过程中承担着不可推卸的责任。</w:t>
            </w:r>
          </w:p>
          <w:p>
            <w:pPr>
              <w:keepNext w:val="0"/>
              <w:keepLines w:val="0"/>
              <w:widowControl/>
              <w:suppressLineNumbers w:val="0"/>
              <w:spacing w:line="360" w:lineRule="auto"/>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在中国的能源结构中，煤炭占主要部分，2011年，煤炭消费占总一次能源消费的68.4%，而 51.2%的煤炭用于发电，因此电力行业是排放 CO2 的主要部门，且中国发电厂的效率远低于其他国家。在日本，每生产一度电约排放 418克CO2，美国为625克，而中国的大多数发电企业需排放752克。因此，降低中国电力产业的碳排放强度（单位发电量的CO2排放量）是一项紧迫任务。碳减排政策作为政府出台的环境管制政策，主要经济手段包括碳排放权交易和碳税两种方式。</w:t>
            </w:r>
          </w:p>
          <w:p>
            <w:pPr>
              <w:keepNext w:val="0"/>
              <w:keepLines w:val="0"/>
              <w:widowControl/>
              <w:suppressLineNumbers w:val="0"/>
              <w:spacing w:line="360" w:lineRule="auto"/>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影响企业投资行为的因素很多，其中政府出台的各种政策举措或行政命令是重要的影响因素之一。关于政府命令型环境管制政策，Cole, Elliott, Shimamoto et al（2005）认为该种政策会直接影响企业运行方式而且见效快，效率高。但往往导致市场扭曲，干扰企业的市场化运行，造成社会的整体无效率。关于市场导向型环境规制政策，Martin,Rice</w:t>
            </w:r>
          </w:p>
          <w:p>
            <w:pPr>
              <w:keepNext w:val="0"/>
              <w:keepLines w:val="0"/>
              <w:widowControl/>
              <w:suppressLineNumbers w:val="0"/>
              <w:spacing w:line="360" w:lineRule="auto"/>
              <w:ind w:firstLine="210" w:firstLineChars="1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(2012)认为“该种政策会依据市场运行的客观规律，在企业是理性主体这一假设前提下运用价格手段限制企业投资行为，使社会达到一般均衡状态，从而社会福利最大化”。</w:t>
            </w:r>
          </w:p>
          <w:p>
            <w:pPr>
              <w:keepNext w:val="0"/>
              <w:keepLines w:val="0"/>
              <w:widowControl/>
              <w:suppressLineNumbers w:val="0"/>
              <w:spacing w:line="360" w:lineRule="auto"/>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关于企业的投资和生产行为受到</w:t>
            </w:r>
            <w:r>
              <w:rPr>
                <w:rFonts w:hint="eastAsia" w:ascii="宋体" w:hAnsi="宋体" w:eastAsia="宋体" w:cs="宋体"/>
                <w:color w:val="auto"/>
                <w:kern w:val="0"/>
                <w:sz w:val="21"/>
                <w:szCs w:val="21"/>
                <w:lang w:val="en-US" w:eastAsia="zh-CN" w:bidi="ar"/>
              </w:rPr>
              <w:t>环境管制的影响，大多数文献从实证方面进</w:t>
            </w:r>
            <w:r>
              <w:rPr>
                <w:rFonts w:hint="eastAsia" w:ascii="宋体" w:hAnsi="宋体" w:eastAsia="宋体" w:cs="宋体"/>
                <w:color w:val="000000"/>
                <w:kern w:val="0"/>
                <w:sz w:val="21"/>
                <w:szCs w:val="21"/>
                <w:lang w:val="en-US" w:eastAsia="zh-CN" w:bidi="ar"/>
              </w:rPr>
              <w:t>行了研究。目前将碳排放权作为排污权的一种是世界公认的看法，根据科斯定理，只要产权明晰，借助市场来为外部性定价，这样把外部性内生化就可以达到帕累托最优。在这个基础上，Lee（2005）研究了水质污染的管制政策，指出行政命令的政策工具降低了资源配置效率。之后，Fischer（2008）研究了大气污染的管制政策，指出排污权交易方案降低了政府排污管制的信息成本。关于环境管制政策在影响企业的投资选择方面的研究，众多文献的研究方向和研究视角有很大的不同，但是大部分是基于环境管制政策对企业经营成本或者其他行为方面的研究；或者基于不同类型的环境管制政策的实施效果的讨论。研究发现，环境规制会造成企业的生产成本上升进而增加成本，造成企业的产出下降。</w:t>
            </w:r>
          </w:p>
          <w:p>
            <w:pPr>
              <w:keepNext w:val="0"/>
              <w:keepLines w:val="0"/>
              <w:widowControl/>
              <w:suppressLineNumbers w:val="0"/>
              <w:spacing w:line="360" w:lineRule="auto"/>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关于电力企业因受到环境管制政策限制，从而具体的节能减排行为受到影响方面，文献主要集中于讨论碳税政策对企业二氧化碳减排量的影响。张强（2014）对碳税政策的发展做了综述，并指出碳税政策的有效实行主要是在于其他减排工具协调配合。朱永彬（2010）发现碳税的实施对减排的确有一定的积极作用，并且生产性碳税比消费性碳税更加有效率。Sato（2002）认为碳减排政策可以令生产厂商即利用清洁能源降低煤耗，又能够减少污染。程志超、王丹等（2011）通过构造一个简单的企业生产模型，认为碳排放权交易的实施会对企业节能减排造成不利影响。时佳瑞、蔡海琳等（2015）用社会核算矩阵的方法模拟了碳交易和碳税对中国经济的影响，发现碳交易和碳税能够有效降低碳排放，促进节能减排，却对长期经济发展造成不利局面。</w:t>
            </w:r>
          </w:p>
          <w:p>
            <w:pPr>
              <w:keepNext w:val="0"/>
              <w:keepLines w:val="0"/>
              <w:widowControl/>
              <w:suppressLineNumbers w:val="0"/>
              <w:spacing w:line="360" w:lineRule="auto"/>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上述文献的研究都从微观角度研究了不同的环境政策对于企业特定目标的影响，比如碳减排目标和增加清洁能源使用比重的目标等等。关于环境政策对企业产出方式以及产出目标的选择的影响，Saltari (2011)利用行为博弈的方法，研究了企业将排污造成的社会成本内生化以后的产出的变化，后来 Mansur(2013)利用美国的实际数据进行了实证分析，认为环境政策能够倒逼高污染低效率企业逐渐退出市场，从而提高社会的产出水平和环保质量。Villegas(2010)通过比较碳税和碳排放权交易政策对企业资本约束的影响，认为“两种减排工具的实施需要其他约束激励机制的配合，只有这样才能促进企业的产出方式的转变，增加清洁能源的使用以及在保持现有产出水平下尽可能减少碳排放”。</w:t>
            </w:r>
          </w:p>
          <w:p>
            <w:pPr>
              <w:keepNext w:val="0"/>
              <w:keepLines w:val="0"/>
              <w:widowControl/>
              <w:suppressLineNumbers w:val="0"/>
              <w:spacing w:line="360" w:lineRule="auto"/>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关于企业的生产水平提高或者技术进步受到环境管制的影响，首先，企业在受到环境管制的条件下有多种应对方式，比如可以采用技术更加先进的发电机组减少碳排放，或者每年在减排环保方面做出一定的投资，安装相应的污染处理设备，还可以统一规划生产以达到减排目标，比如在环境管制严格的区域和环境管制力度弱的区域调整生产比例。因此环境管制对企业的影响是多方面的，不仅仅在生产过程和生产成本方面，在企业技术进步和创新方面也有所体现。Masini（2012）发现，企业在环境管制政策下的确会有技术进步，一方面是企业受到政策的限制，自身有动力提高技术以达到政策规定条件进而降低企业后期环保支出；另一方面是市场导向型的环境政策会对企业产生正向激励，在盈利的动力下促使其技术进步。Milliman, Mondol（2013）研究了不同的政策执行方式，包括对污染征税、对企业进行经济补贴、以及配额指标分配等情形下的企业行为，研究发现对于企业的技术进步而言配额的分配是最有效的政策执行方式。Sovacool（2010）发现市场导向型的政策工具会增加企业的预期成本，从而促使企业改进技术以降低成本，这是企业在因为不合规而受到处罚，和因改进技术而增加预期收益之间做出的最优选择。Garth(2011)在对收到环境管制的企业受到的冲击的模拟中，讨论了各种条件下的最终结果，研究发现虽然环境管制政策会限制企业的投资行为，但是对企业的整体收益并没有很大的冲击，企业一方面会使用清洁燃料，降低了碳排放但成本提高，另一方面因倒逼机制产生的技术进步会增加其未来收益。Nordberg（1999）发现企业在市场导向型的政策环境下会有长远且持续的的技术进步，而政府导向型的环境管制政策是对企业减排的硬性约束，从而企业的自发技术进步速度减缓，因而建议相关部门将市场型政策作为优先考虑对象。</w:t>
            </w:r>
          </w:p>
          <w:p>
            <w:pPr>
              <w:keepNext w:val="0"/>
              <w:keepLines w:val="0"/>
              <w:widowControl/>
              <w:suppressLineNumbers w:val="0"/>
              <w:spacing w:line="360" w:lineRule="auto"/>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综上所述，政府实施的碳减排政策对企业产生的影响主要体现在三个方面：抑制碳排放、促进技术创新、转变投资行为。但是研究缺乏当今世界新形势下，对碳排放权配额实施松紧程度、企业风险偏好、企业风险承受度、新能源技术及原材料成本等因素影响的分析，研究这些问题对政府配合碳减排政策今后制定优先发电制度和新能源补贴制度，实施改变企业边际成本，在实现碳减排目标的同时，保证社会可持续发展的最优政策有理论意义。</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p>
          <w:p>
            <w:pPr>
              <w:keepNext w:val="0"/>
              <w:keepLines w:val="0"/>
              <w:widowControl/>
              <w:suppressLineNumbers w:val="0"/>
              <w:jc w:val="lef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w:t>
            </w:r>
          </w:p>
          <w:p>
            <w:pPr>
              <w:ind w:firstLine="480" w:firstLineChars="200"/>
              <w:rPr>
                <w:rFonts w:hint="default" w:ascii="宋体" w:hAnsi="宋体" w:eastAsia="宋体"/>
                <w:color w:val="C00000"/>
                <w:sz w:val="24"/>
                <w:szCs w:val="24"/>
                <w:lang w:val="en-US"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hint="eastAsia" w:ascii="宋体" w:hAnsi="宋体" w:eastAsia="宋体" w:cs="宋体"/>
                <w:color w:val="000000"/>
                <w:kern w:val="0"/>
                <w:sz w:val="21"/>
                <w:szCs w:val="21"/>
                <w:lang w:val="en-US" w:eastAsia="zh-CN" w:bidi="ar"/>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keepNext w:val="0"/>
              <w:keepLines w:val="0"/>
              <w:widowControl/>
              <w:suppressLineNumbers w:val="0"/>
              <w:spacing w:line="360" w:lineRule="auto"/>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2011年10月，国家发改委发布在北京、上海、天津、重庆、湖北、广东、深圳7个省市开展碳排放权交易方案试点，2013年11月和12月正式启动了碳交易市场。</w:t>
            </w:r>
          </w:p>
          <w:p>
            <w:pPr>
              <w:keepNext w:val="0"/>
              <w:keepLines w:val="0"/>
              <w:widowControl/>
              <w:suppressLineNumbers w:val="0"/>
              <w:spacing w:line="360" w:lineRule="auto"/>
              <w:ind w:firstLine="420" w:firstLineChars="200"/>
              <w:jc w:val="left"/>
              <w:rPr>
                <w:rFonts w:hint="default" w:ascii="宋体" w:hAnsi="宋体" w:eastAsia="宋体" w:cs="宋体"/>
                <w:color w:val="000000"/>
                <w:kern w:val="0"/>
                <w:sz w:val="21"/>
                <w:szCs w:val="21"/>
                <w:lang w:val="en-US" w:eastAsia="zh-CN" w:bidi="ar"/>
              </w:rPr>
            </w:pPr>
            <w:r>
              <w:rPr>
                <w:rFonts w:hint="eastAsia" w:ascii="宋体" w:hAnsi="宋体" w:eastAsia="宋体"/>
                <w:sz w:val="21"/>
                <w:szCs w:val="21"/>
                <w:lang w:val="en-US" w:eastAsia="zh-CN"/>
              </w:rPr>
              <w:t>构建双重差分模型，</w:t>
            </w:r>
            <w:r>
              <w:rPr>
                <w:rFonts w:hint="default" w:ascii="宋体" w:hAnsi="宋体" w:eastAsia="宋体" w:cs="宋体"/>
                <w:color w:val="000000"/>
                <w:kern w:val="0"/>
                <w:sz w:val="21"/>
                <w:szCs w:val="21"/>
                <w:lang w:val="en-US" w:eastAsia="zh-CN" w:bidi="ar"/>
              </w:rPr>
              <w:t>结合实施碳交易试点省市的平衡面板数据与时间序列数据</w:t>
            </w:r>
            <w:r>
              <w:rPr>
                <w:rFonts w:hint="eastAsia" w:ascii="宋体" w:hAnsi="宋体" w:eastAsia="宋体" w:cs="宋体"/>
                <w:color w:val="000000"/>
                <w:kern w:val="0"/>
                <w:sz w:val="21"/>
                <w:szCs w:val="21"/>
                <w:lang w:val="en-US" w:eastAsia="zh-CN" w:bidi="ar"/>
              </w:rPr>
              <w:t>，</w:t>
            </w:r>
            <w:r>
              <w:rPr>
                <w:rFonts w:hint="eastAsia" w:ascii="宋体" w:hAnsi="宋体" w:eastAsia="宋体"/>
                <w:sz w:val="21"/>
                <w:szCs w:val="21"/>
                <w:lang w:val="en-US" w:eastAsia="zh-CN"/>
              </w:rPr>
              <w:t>以成为碳交易试点的省市为实验组，以未成为碳交易试点的省市为对照组，</w:t>
            </w:r>
            <w:r>
              <w:rPr>
                <w:rFonts w:hint="eastAsia" w:ascii="宋体" w:hAnsi="宋体" w:eastAsia="宋体" w:cs="宋体"/>
                <w:color w:val="000000"/>
                <w:kern w:val="0"/>
                <w:sz w:val="21"/>
                <w:szCs w:val="21"/>
                <w:lang w:val="en-US" w:eastAsia="zh-CN" w:bidi="ar"/>
              </w:rPr>
              <w:t>选择2008-2017年的省际平衡面板数据作为观测样本，以2008-2013年的数据为对照组，以2014-2017年的数据为实验组，</w:t>
            </w:r>
            <w:r>
              <w:rPr>
                <w:rFonts w:hint="eastAsia" w:ascii="宋体" w:hAnsi="宋体" w:eastAsia="宋体"/>
                <w:sz w:val="21"/>
                <w:szCs w:val="21"/>
                <w:lang w:val="en-US" w:eastAsia="zh-CN"/>
              </w:rPr>
              <w:t>对比分析实施碳交易政策的效应。结果表明，与非试点省市相比，碳交易政策对试点省市的碳排放和传统能源的使用具有显著的抑制作用；试点省市能源消费结构中传统能源发电量下降，新能源发电量增加。</w:t>
            </w:r>
          </w:p>
          <w:p>
            <w:pPr>
              <w:spacing w:line="360" w:lineRule="auto"/>
              <w:ind w:firstLine="420" w:firstLineChars="200"/>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利用最小二乘回归法分析碳交易政策试点省市与非试点省市电力企业传统火电厂发电量与碳排放量关系，证明实施碳交易政策后碳排放量下降，火电厂发电量比重下降。</w:t>
            </w:r>
          </w:p>
          <w:p>
            <w:pPr>
              <w:spacing w:line="360" w:lineRule="auto"/>
              <w:ind w:firstLine="420" w:firstLineChars="200"/>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方案中用到的能源消费数据来源于《中国能源统计年鉴》。</w:t>
            </w:r>
            <w:bookmarkStart w:id="3" w:name="_GoBack"/>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numPr>
                <w:ilvl w:val="0"/>
                <w:numId w:val="1"/>
              </w:numPr>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numPr>
                <w:ilvl w:val="0"/>
                <w:numId w:val="0"/>
              </w:numPr>
              <w:spacing w:line="360" w:lineRule="auto"/>
              <w:rPr>
                <w:rFonts w:hint="eastAsia" w:ascii="宋体" w:hAnsi="宋体" w:eastAsia="宋体"/>
                <w:color w:val="000000" w:themeColor="text1"/>
                <w:sz w:val="21"/>
                <w:szCs w:val="21"/>
                <w:lang w:val="en-US" w:eastAsia="zh-CN"/>
                <w14:textFill>
                  <w14:solidFill>
                    <w14:schemeClr w14:val="tx1"/>
                  </w14:solidFill>
                </w14:textFill>
              </w:rPr>
            </w:pPr>
            <w:r>
              <w:rPr>
                <w:rFonts w:hint="eastAsia" w:ascii="宋体" w:hAnsi="宋体" w:eastAsia="宋体"/>
                <w:color w:val="FF0000"/>
                <w:sz w:val="24"/>
                <w:szCs w:val="24"/>
                <w:lang w:val="en-US" w:eastAsia="zh-CN"/>
              </w:rPr>
              <w:t xml:space="preserve">  </w:t>
            </w:r>
            <w:r>
              <w:rPr>
                <w:rFonts w:hint="eastAsia" w:ascii="宋体" w:hAnsi="宋体" w:eastAsia="宋体"/>
                <w:color w:val="FF0000"/>
                <w:sz w:val="21"/>
                <w:szCs w:val="21"/>
                <w:lang w:val="en-US" w:eastAsia="zh-CN"/>
              </w:rPr>
              <w:t xml:space="preserve"> </w:t>
            </w:r>
            <w:r>
              <w:rPr>
                <w:rFonts w:hint="eastAsia" w:ascii="宋体" w:hAnsi="宋体" w:eastAsia="宋体"/>
                <w:color w:val="000000" w:themeColor="text1"/>
                <w:sz w:val="21"/>
                <w:szCs w:val="21"/>
                <w:lang w:val="en-US" w:eastAsia="zh-CN"/>
                <w14:textFill>
                  <w14:solidFill>
                    <w14:schemeClr w14:val="tx1"/>
                  </w14:solidFill>
                </w14:textFill>
              </w:rPr>
              <w:t>碳交易政策对电力行业碳排放和传统煤炭等化石能源消费有一定的抑制作用；</w:t>
            </w:r>
          </w:p>
          <w:p>
            <w:pPr>
              <w:numPr>
                <w:ilvl w:val="0"/>
                <w:numId w:val="0"/>
              </w:numPr>
              <w:spacing w:line="360" w:lineRule="auto"/>
              <w:rPr>
                <w:rFonts w:hint="eastAsia" w:ascii="宋体" w:hAnsi="宋体" w:eastAsia="宋体"/>
                <w:color w:val="000000" w:themeColor="text1"/>
                <w:sz w:val="21"/>
                <w:szCs w:val="21"/>
                <w:lang w:val="en-US" w:eastAsia="zh-CN"/>
                <w14:textFill>
                  <w14:solidFill>
                    <w14:schemeClr w14:val="tx1"/>
                  </w14:solidFill>
                </w14:textFill>
              </w:rPr>
            </w:pPr>
            <w:r>
              <w:rPr>
                <w:rFonts w:hint="eastAsia" w:ascii="宋体" w:hAnsi="宋体" w:eastAsia="宋体"/>
                <w:color w:val="000000" w:themeColor="text1"/>
                <w:sz w:val="21"/>
                <w:szCs w:val="21"/>
                <w:lang w:val="en-US" w:eastAsia="zh-CN"/>
                <w14:textFill>
                  <w14:solidFill>
                    <w14:schemeClr w14:val="tx1"/>
                  </w14:solidFill>
                </w14:textFill>
              </w:rPr>
              <w:t xml:space="preserve">    碳交易中的碳排放权的配额对企业投资成本有影响，免费配额和购买碳排放权价格影响企业边际成本，成本增加，进而对企业收效益产生较影响；成本的变化会促使企业技术创新，优化企业资源配置，转型清洁能源，加大新能源配比，影响企业投资战略。</w:t>
            </w:r>
          </w:p>
          <w:p>
            <w:pPr>
              <w:numPr>
                <w:ilvl w:val="0"/>
                <w:numId w:val="0"/>
              </w:num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spacing w:line="360" w:lineRule="auto"/>
              <w:rPr>
                <w:rFonts w:hint="eastAsia" w:ascii="宋体" w:hAnsi="宋体" w:eastAsia="宋体"/>
                <w:sz w:val="21"/>
                <w:szCs w:val="21"/>
                <w:lang w:val="en-US" w:eastAsia="zh-CN"/>
              </w:rPr>
            </w:pPr>
            <w:r>
              <w:rPr>
                <w:rFonts w:hint="eastAsia" w:ascii="宋体" w:hAnsi="宋体" w:eastAsia="宋体"/>
                <w:sz w:val="24"/>
                <w:szCs w:val="24"/>
                <w:lang w:val="en-US" w:eastAsia="zh-CN"/>
              </w:rPr>
              <w:t xml:space="preserve">   </w:t>
            </w:r>
            <w:r>
              <w:rPr>
                <w:rFonts w:hint="eastAsia" w:ascii="宋体" w:hAnsi="宋体" w:eastAsia="宋体"/>
                <w:sz w:val="21"/>
                <w:szCs w:val="21"/>
                <w:lang w:val="en-US" w:eastAsia="zh-CN"/>
              </w:rPr>
              <w:t>本文创新点在于在分析了碳交易政策对试点省市碳排放影响的基础上，利用双重差分模型分析出碳交易政策实施地区，企业对能源消费结构投资方向逐渐转至新能源，碳减排政策成为电力行业改革新的驱动力。</w:t>
            </w:r>
          </w:p>
          <w:p>
            <w:pPr>
              <w:spacing w:line="360" w:lineRule="auto"/>
              <w:rPr>
                <w:rFonts w:hint="default" w:ascii="宋体" w:hAnsi="宋体" w:eastAsia="宋体"/>
                <w:sz w:val="24"/>
                <w:szCs w:val="24"/>
                <w:lang w:val="en-US" w:eastAsia="zh-CN"/>
              </w:rPr>
            </w:pPr>
            <w:r>
              <w:rPr>
                <w:rFonts w:hint="eastAsia" w:ascii="宋体" w:hAnsi="宋体" w:eastAsia="宋体"/>
                <w:sz w:val="21"/>
                <w:szCs w:val="21"/>
                <w:lang w:val="en-US" w:eastAsia="zh-CN"/>
              </w:rPr>
              <w:t xml:space="preserve">   </w:t>
            </w:r>
            <w:r>
              <w:rPr>
                <w:rFonts w:hint="eastAsia" w:ascii="宋体" w:hAnsi="宋体" w:eastAsia="宋体"/>
                <w:color w:val="000000" w:themeColor="text1"/>
                <w:sz w:val="21"/>
                <w:szCs w:val="21"/>
                <w:lang w:val="en-US" w:eastAsia="zh-CN"/>
                <w14:textFill>
                  <w14:solidFill>
                    <w14:schemeClr w14:val="tx1"/>
                  </w14:solidFill>
                </w14:textFill>
              </w:rPr>
              <w:t xml:space="preserve"> 电能作为基本民生保障，已经渗透到各行业，国民经济的运转离不开电力供应，所以政府要选择合理的碳减排政策，打好碳交易和碳减排补贴政策“组合拳”，促使企业向高效低碳方向改革，加大对可再生清洁能源的投资和利用，在达到碳减排目标的同时不影响企业经济运行，给予企业经济缓冲期，促使电力行业达到帕累托最优状态。通过模型的建立和分析，以数据结果证明新能源在未来碳减排实施过程中不可或缺的重要性，对发展新能源有现实意义。</w:t>
            </w:r>
          </w:p>
        </w:tc>
      </w:tr>
      <w:bookmarkEnd w:id="0"/>
    </w:tbl>
    <w:p>
      <w:pPr>
        <w:rPr>
          <w:rFonts w:ascii="宋体" w:hAnsi="宋体" w:eastAsia="宋体"/>
          <w:sz w:val="32"/>
          <w:szCs w:val="32"/>
        </w:rPr>
      </w:pP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keepNext w:val="0"/>
              <w:keepLines w:val="0"/>
              <w:widowControl/>
              <w:suppressLineNumbers w:val="0"/>
              <w:jc w:val="left"/>
              <w:rPr>
                <w:rFonts w:hint="default" w:asciiTheme="minorAscii" w:hAnsiTheme="minorAscii"/>
                <w:sz w:val="18"/>
                <w:szCs w:val="20"/>
              </w:rPr>
            </w:pPr>
            <w:r>
              <w:rPr>
                <w:rFonts w:hint="eastAsia" w:asciiTheme="minorEastAsia" w:hAnsiTheme="minorEastAsia" w:eastAsiaTheme="minorEastAsia" w:cstheme="minorEastAsia"/>
                <w:b w:val="0"/>
                <w:bCs w:val="0"/>
                <w:color w:val="000000"/>
                <w:kern w:val="0"/>
                <w:sz w:val="18"/>
                <w:szCs w:val="18"/>
                <w:lang w:val="en-US" w:eastAsia="zh-CN" w:bidi="ar"/>
              </w:rPr>
              <w:t>【1】</w:t>
            </w:r>
            <w:r>
              <w:rPr>
                <w:rFonts w:hint="default" w:eastAsia="宋体" w:cs="Times New Roman" w:asciiTheme="minorAscii" w:hAnsiTheme="minorAscii"/>
                <w:color w:val="000000"/>
                <w:kern w:val="0"/>
                <w:sz w:val="18"/>
                <w:szCs w:val="18"/>
                <w:lang w:val="en-US" w:eastAsia="zh-CN" w:bidi="ar"/>
              </w:rPr>
              <w:t>RICHARDS G</w:t>
            </w:r>
            <w:r>
              <w:rPr>
                <w:rFonts w:hint="default" w:eastAsia="宋体" w:cs="宋体" w:asciiTheme="minorAscii" w:hAnsiTheme="minorAscii"/>
                <w:color w:val="000000"/>
                <w:kern w:val="0"/>
                <w:sz w:val="18"/>
                <w:szCs w:val="18"/>
                <w:lang w:val="en-US" w:eastAsia="zh-CN" w:bidi="ar"/>
              </w:rPr>
              <w:t xml:space="preserve">, </w:t>
            </w:r>
            <w:r>
              <w:rPr>
                <w:rFonts w:hint="default" w:eastAsia="宋体" w:cs="Times New Roman" w:asciiTheme="minorAscii" w:hAnsiTheme="minorAscii"/>
                <w:color w:val="000000"/>
                <w:kern w:val="0"/>
                <w:sz w:val="18"/>
                <w:szCs w:val="18"/>
                <w:lang w:val="en-US" w:eastAsia="zh-CN" w:bidi="ar"/>
              </w:rPr>
              <w:t>NOBLE B</w:t>
            </w:r>
            <w:r>
              <w:rPr>
                <w:rFonts w:hint="default" w:eastAsia="宋体" w:cs="宋体" w:asciiTheme="minorAscii" w:hAnsiTheme="minorAscii"/>
                <w:color w:val="000000"/>
                <w:kern w:val="0"/>
                <w:sz w:val="18"/>
                <w:szCs w:val="18"/>
                <w:lang w:val="en-US" w:eastAsia="zh-CN" w:bidi="ar"/>
              </w:rPr>
              <w:t xml:space="preserve">. </w:t>
            </w:r>
            <w:r>
              <w:rPr>
                <w:rFonts w:hint="default" w:eastAsia="宋体" w:cs="Times New Roman" w:asciiTheme="minorAscii" w:hAnsiTheme="minorAscii"/>
                <w:color w:val="000000"/>
                <w:kern w:val="0"/>
                <w:sz w:val="18"/>
                <w:szCs w:val="18"/>
                <w:lang w:val="en-US" w:eastAsia="zh-CN" w:bidi="ar"/>
              </w:rPr>
              <w:t>Barriers to renewable energy development</w:t>
            </w:r>
            <w:r>
              <w:rPr>
                <w:rFonts w:hint="default" w:eastAsia="宋体" w:cs="宋体" w:asciiTheme="minorAscii" w:hAnsiTheme="minorAscii"/>
                <w:color w:val="000000"/>
                <w:kern w:val="0"/>
                <w:sz w:val="18"/>
                <w:szCs w:val="18"/>
                <w:lang w:val="en-US" w:eastAsia="zh-CN" w:bidi="ar"/>
              </w:rPr>
              <w:t xml:space="preserve">: </w:t>
            </w:r>
            <w:r>
              <w:rPr>
                <w:rFonts w:hint="default" w:eastAsia="宋体" w:cs="Times New Roman" w:asciiTheme="minorAscii" w:hAnsiTheme="minorAscii"/>
                <w:color w:val="000000"/>
                <w:kern w:val="0"/>
                <w:sz w:val="18"/>
                <w:szCs w:val="18"/>
                <w:lang w:val="en-US" w:eastAsia="zh-CN" w:bidi="ar"/>
              </w:rPr>
              <w:t>A case study of large</w:t>
            </w:r>
            <w:r>
              <w:rPr>
                <w:rFonts w:hint="default" w:eastAsia="宋体" w:cs="宋体" w:asciiTheme="minorAscii" w:hAnsiTheme="minorAscii"/>
                <w:color w:val="000000"/>
                <w:kern w:val="0"/>
                <w:sz w:val="18"/>
                <w:szCs w:val="18"/>
                <w:lang w:val="en-US" w:eastAsia="zh-CN" w:bidi="ar"/>
              </w:rPr>
              <w:t>-</w:t>
            </w:r>
            <w:r>
              <w:rPr>
                <w:rFonts w:hint="default" w:eastAsia="宋体" w:cs="Times New Roman" w:asciiTheme="minorAscii" w:hAnsiTheme="minorAscii"/>
                <w:color w:val="000000"/>
                <w:kern w:val="0"/>
                <w:sz w:val="18"/>
                <w:szCs w:val="18"/>
                <w:lang w:val="en-US" w:eastAsia="zh-CN" w:bidi="ar"/>
              </w:rPr>
              <w:t>scale wind energy in Canada</w:t>
            </w:r>
            <w:r>
              <w:rPr>
                <w:rFonts w:hint="default" w:eastAsia="宋体" w:cs="宋体" w:asciiTheme="minorAscii" w:hAnsiTheme="minorAscii"/>
                <w:color w:val="000000"/>
                <w:kern w:val="0"/>
                <w:sz w:val="18"/>
                <w:szCs w:val="18"/>
                <w:lang w:val="en-US" w:eastAsia="zh-CN" w:bidi="ar"/>
              </w:rPr>
              <w:t>[</w:t>
            </w:r>
            <w:r>
              <w:rPr>
                <w:rFonts w:hint="default" w:eastAsia="宋体" w:cs="Times New Roman" w:asciiTheme="minorAscii" w:hAnsiTheme="minorAscii"/>
                <w:color w:val="000000"/>
                <w:kern w:val="0"/>
                <w:sz w:val="18"/>
                <w:szCs w:val="18"/>
                <w:lang w:val="en-US" w:eastAsia="zh-CN" w:bidi="ar"/>
              </w:rPr>
              <w:t>J</w:t>
            </w:r>
            <w:r>
              <w:rPr>
                <w:rFonts w:hint="default" w:eastAsia="宋体" w:cs="宋体" w:asciiTheme="minorAscii" w:hAnsiTheme="minorAscii"/>
                <w:color w:val="000000"/>
                <w:kern w:val="0"/>
                <w:sz w:val="18"/>
                <w:szCs w:val="18"/>
                <w:lang w:val="en-US" w:eastAsia="zh-CN" w:bidi="ar"/>
              </w:rPr>
              <w:t xml:space="preserve">]. </w:t>
            </w:r>
            <w:r>
              <w:rPr>
                <w:rFonts w:hint="default" w:eastAsia="宋体" w:cs="Times New Roman" w:asciiTheme="minorAscii" w:hAnsiTheme="minorAscii"/>
                <w:color w:val="000000"/>
                <w:kern w:val="0"/>
                <w:sz w:val="18"/>
                <w:szCs w:val="18"/>
                <w:lang w:val="en-US" w:eastAsia="zh-CN" w:bidi="ar"/>
              </w:rPr>
              <w:t>Energy Policy</w:t>
            </w:r>
            <w:r>
              <w:rPr>
                <w:rFonts w:hint="default" w:eastAsia="宋体" w:cs="宋体" w:asciiTheme="minorAscii" w:hAnsiTheme="minorAscii"/>
                <w:color w:val="000000"/>
                <w:kern w:val="0"/>
                <w:sz w:val="18"/>
                <w:szCs w:val="18"/>
                <w:lang w:val="en-US" w:eastAsia="zh-CN" w:bidi="ar"/>
              </w:rPr>
              <w:t xml:space="preserve">, </w:t>
            </w:r>
            <w:r>
              <w:rPr>
                <w:rFonts w:hint="default" w:eastAsia="宋体" w:cs="Times New Roman" w:asciiTheme="minorAscii" w:hAnsiTheme="minorAscii"/>
                <w:color w:val="000000"/>
                <w:kern w:val="0"/>
                <w:sz w:val="18"/>
                <w:szCs w:val="18"/>
                <w:lang w:val="en-US" w:eastAsia="zh-CN" w:bidi="ar"/>
              </w:rPr>
              <w:t>2012</w:t>
            </w:r>
            <w:r>
              <w:rPr>
                <w:rFonts w:hint="default" w:eastAsia="宋体" w:cs="宋体" w:asciiTheme="minorAscii" w:hAnsiTheme="minorAscii"/>
                <w:color w:val="000000"/>
                <w:kern w:val="0"/>
                <w:sz w:val="18"/>
                <w:szCs w:val="18"/>
                <w:lang w:val="en-US" w:eastAsia="zh-CN" w:bidi="ar"/>
              </w:rPr>
              <w:t>(</w:t>
            </w:r>
            <w:r>
              <w:rPr>
                <w:rFonts w:hint="default" w:eastAsia="宋体" w:cs="Times New Roman" w:asciiTheme="minorAscii" w:hAnsiTheme="minorAscii"/>
                <w:color w:val="000000"/>
                <w:kern w:val="0"/>
                <w:sz w:val="18"/>
                <w:szCs w:val="18"/>
                <w:lang w:val="en-US" w:eastAsia="zh-CN" w:bidi="ar"/>
              </w:rPr>
              <w:t>42</w:t>
            </w:r>
            <w:r>
              <w:rPr>
                <w:rFonts w:hint="default" w:eastAsia="宋体" w:cs="宋体" w:asciiTheme="minorAscii" w:hAnsiTheme="minorAscii"/>
                <w:color w:val="000000"/>
                <w:kern w:val="0"/>
                <w:sz w:val="18"/>
                <w:szCs w:val="18"/>
                <w:lang w:val="en-US" w:eastAsia="zh-CN" w:bidi="ar"/>
              </w:rPr>
              <w:t xml:space="preserve">): </w:t>
            </w:r>
            <w:r>
              <w:rPr>
                <w:rFonts w:hint="default" w:eastAsia="宋体" w:cs="Times New Roman" w:asciiTheme="minorAscii" w:hAnsiTheme="minorAscii"/>
                <w:color w:val="000000"/>
                <w:kern w:val="0"/>
                <w:sz w:val="18"/>
                <w:szCs w:val="18"/>
                <w:lang w:val="en-US" w:eastAsia="zh-CN" w:bidi="ar"/>
              </w:rPr>
              <w:t>691</w:t>
            </w:r>
            <w:r>
              <w:rPr>
                <w:rFonts w:hint="default" w:eastAsia="宋体" w:cs="宋体" w:asciiTheme="minorAscii" w:hAnsiTheme="minorAscii"/>
                <w:color w:val="000000"/>
                <w:kern w:val="0"/>
                <w:sz w:val="18"/>
                <w:szCs w:val="18"/>
                <w:lang w:val="en-US" w:eastAsia="zh-CN" w:bidi="ar"/>
              </w:rPr>
              <w:t>-</w:t>
            </w:r>
            <w:r>
              <w:rPr>
                <w:rFonts w:hint="default" w:eastAsia="宋体" w:cs="Times New Roman" w:asciiTheme="minorAscii" w:hAnsiTheme="minorAscii"/>
                <w:color w:val="000000"/>
                <w:kern w:val="0"/>
                <w:sz w:val="18"/>
                <w:szCs w:val="18"/>
                <w:lang w:val="en-US" w:eastAsia="zh-CN" w:bidi="ar"/>
              </w:rPr>
              <w:t>698</w:t>
            </w:r>
            <w:r>
              <w:rPr>
                <w:rFonts w:hint="default" w:eastAsia="宋体" w:cs="宋体" w:asciiTheme="minorAscii" w:hAnsiTheme="minorAscii"/>
                <w:color w:val="000000"/>
                <w:kern w:val="0"/>
                <w:sz w:val="18"/>
                <w:szCs w:val="18"/>
                <w:lang w:val="en-US" w:eastAsia="zh-CN" w:bidi="ar"/>
              </w:rPr>
              <w:t xml:space="preserve">. </w:t>
            </w:r>
          </w:p>
          <w:p>
            <w:pPr>
              <w:rPr>
                <w:sz w:val="18"/>
                <w:szCs w:val="20"/>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2</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default"/>
                <w:sz w:val="18"/>
                <w:szCs w:val="20"/>
                <w:lang w:val="en-US" w:eastAsia="zh-CN"/>
              </w:rPr>
              <w:t>RAHMATALLAH T</w:t>
            </w:r>
            <w:r>
              <w:rPr>
                <w:rFonts w:hint="eastAsia"/>
                <w:sz w:val="18"/>
                <w:szCs w:val="20"/>
                <w:lang w:val="en-US" w:eastAsia="zh-CN"/>
              </w:rPr>
              <w:t xml:space="preserve">. </w:t>
            </w:r>
            <w:r>
              <w:rPr>
                <w:rFonts w:hint="default"/>
                <w:sz w:val="18"/>
                <w:szCs w:val="20"/>
                <w:lang w:val="en-US" w:eastAsia="zh-CN"/>
              </w:rPr>
              <w:t>Determinants of investment under incentive regulation</w:t>
            </w:r>
            <w:r>
              <w:rPr>
                <w:rFonts w:hint="eastAsia"/>
                <w:sz w:val="18"/>
                <w:szCs w:val="20"/>
                <w:lang w:val="en-US" w:eastAsia="zh-CN"/>
              </w:rPr>
              <w:t xml:space="preserve">: </w:t>
            </w:r>
            <w:r>
              <w:rPr>
                <w:rFonts w:hint="default"/>
                <w:sz w:val="18"/>
                <w:szCs w:val="20"/>
                <w:lang w:val="en-US" w:eastAsia="zh-CN"/>
              </w:rPr>
              <w:t>The case of the Norwegian electricity distribution networks</w:t>
            </w:r>
            <w:r>
              <w:rPr>
                <w:rFonts w:hint="eastAsia"/>
                <w:sz w:val="18"/>
                <w:szCs w:val="20"/>
                <w:lang w:val="en-US" w:eastAsia="zh-CN"/>
              </w:rPr>
              <w:t>[</w:t>
            </w:r>
            <w:r>
              <w:rPr>
                <w:rFonts w:hint="default"/>
                <w:sz w:val="18"/>
                <w:szCs w:val="20"/>
                <w:lang w:val="en-US" w:eastAsia="zh-CN"/>
              </w:rPr>
              <w:t>J</w:t>
            </w:r>
            <w:r>
              <w:rPr>
                <w:rFonts w:hint="eastAsia"/>
                <w:sz w:val="18"/>
                <w:szCs w:val="20"/>
                <w:lang w:val="en-US" w:eastAsia="zh-CN"/>
              </w:rPr>
              <w:t xml:space="preserve">]. </w:t>
            </w:r>
            <w:r>
              <w:rPr>
                <w:rFonts w:hint="default"/>
                <w:sz w:val="18"/>
                <w:szCs w:val="20"/>
                <w:lang w:val="en-US" w:eastAsia="zh-CN"/>
              </w:rPr>
              <w:t>Energy Economics</w:t>
            </w:r>
            <w:r>
              <w:rPr>
                <w:rFonts w:hint="eastAsia"/>
                <w:sz w:val="18"/>
                <w:szCs w:val="20"/>
                <w:lang w:val="en-US" w:eastAsia="zh-CN"/>
              </w:rPr>
              <w:t xml:space="preserve">, </w:t>
            </w:r>
            <w:r>
              <w:rPr>
                <w:rFonts w:hint="default"/>
                <w:sz w:val="18"/>
                <w:szCs w:val="20"/>
                <w:lang w:val="en-US" w:eastAsia="zh-CN"/>
              </w:rPr>
              <w:t>2016</w:t>
            </w:r>
            <w:r>
              <w:rPr>
                <w:rFonts w:hint="eastAsia"/>
                <w:sz w:val="18"/>
                <w:szCs w:val="20"/>
                <w:lang w:val="en-US" w:eastAsia="zh-CN"/>
              </w:rPr>
              <w:t>(</w:t>
            </w:r>
            <w:r>
              <w:rPr>
                <w:rFonts w:hint="default"/>
                <w:sz w:val="18"/>
                <w:szCs w:val="20"/>
                <w:lang w:val="en-US" w:eastAsia="zh-CN"/>
              </w:rPr>
              <w:t>1</w:t>
            </w:r>
            <w:r>
              <w:rPr>
                <w:rFonts w:hint="eastAsia"/>
                <w:sz w:val="18"/>
                <w:szCs w:val="20"/>
                <w:lang w:val="en-US" w:eastAsia="zh-CN"/>
              </w:rPr>
              <w:t xml:space="preserve">): </w:t>
            </w:r>
            <w:r>
              <w:rPr>
                <w:rFonts w:hint="default"/>
                <w:sz w:val="18"/>
                <w:szCs w:val="20"/>
                <w:lang w:val="en-US" w:eastAsia="zh-CN"/>
              </w:rPr>
              <w:t>193</w:t>
            </w:r>
            <w:r>
              <w:rPr>
                <w:rFonts w:hint="eastAsia"/>
                <w:sz w:val="18"/>
                <w:szCs w:val="20"/>
                <w:lang w:val="en-US" w:eastAsia="zh-CN"/>
              </w:rPr>
              <w:t>-</w:t>
            </w:r>
            <w:r>
              <w:rPr>
                <w:rFonts w:hint="default"/>
                <w:sz w:val="18"/>
                <w:szCs w:val="20"/>
                <w:lang w:val="en-US" w:eastAsia="zh-CN"/>
              </w:rPr>
              <w:t>202</w:t>
            </w:r>
            <w:r>
              <w:rPr>
                <w:rFonts w:hint="eastAsia"/>
                <w:sz w:val="18"/>
                <w:szCs w:val="20"/>
                <w:lang w:val="en-US" w:eastAsia="zh-CN"/>
              </w:rPr>
              <w:t xml:space="preserve">. </w:t>
            </w:r>
          </w:p>
          <w:p>
            <w:pPr>
              <w:keepNext w:val="0"/>
              <w:keepLines w:val="0"/>
              <w:widowControl/>
              <w:suppressLineNumbers w:val="0"/>
              <w:jc w:val="left"/>
              <w:rPr>
                <w:rFonts w:hint="default" w:asciiTheme="minorAscii" w:hAnsiTheme="minorAscii"/>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3</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default" w:eastAsia="宋体" w:cs="宋体" w:asciiTheme="minorAscii" w:hAnsiTheme="minorAscii"/>
                <w:color w:val="000000"/>
                <w:kern w:val="0"/>
                <w:sz w:val="18"/>
                <w:szCs w:val="18"/>
                <w:lang w:val="en-US" w:eastAsia="zh-CN" w:bidi="ar"/>
              </w:rPr>
              <w:t xml:space="preserve">Consulting N E．Impacts of Greenhouse Gas Regulations On the Industrial Sector．2017． </w:t>
            </w:r>
          </w:p>
          <w:p>
            <w:pPr>
              <w:keepNext w:val="0"/>
              <w:keepLines w:val="0"/>
              <w:widowControl/>
              <w:suppressLineNumbers w:val="0"/>
              <w:jc w:val="left"/>
              <w:rPr>
                <w:rFonts w:hint="default" w:asciiTheme="minorAscii" w:hAnsiTheme="minorAscii"/>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4</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default" w:eastAsia="宋体" w:cs="宋体" w:asciiTheme="minorAscii" w:hAnsiTheme="minorAscii"/>
                <w:color w:val="000000"/>
                <w:kern w:val="0"/>
                <w:sz w:val="18"/>
                <w:szCs w:val="18"/>
                <w:lang w:val="en-US" w:eastAsia="zh-CN" w:bidi="ar"/>
              </w:rPr>
              <w:t xml:space="preserve">Su K Lee C—M．When will China achieve its carbon emission peak?Ascenario analysis based on optimal control and the STIRPAT model[J]．Ecological Indicators，2020，112． </w:t>
            </w:r>
          </w:p>
          <w:p>
            <w:pPr>
              <w:keepNext w:val="0"/>
              <w:keepLines w:val="0"/>
              <w:widowControl/>
              <w:suppressLineNumbers w:val="0"/>
              <w:jc w:val="left"/>
              <w:rPr>
                <w:rFonts w:hint="default" w:asciiTheme="minorAscii" w:hAnsiTheme="minorAscii"/>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5</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default" w:eastAsia="宋体" w:cs="宋体" w:asciiTheme="minorAscii" w:hAnsiTheme="minorAscii"/>
                <w:color w:val="000000"/>
                <w:kern w:val="0"/>
                <w:sz w:val="18"/>
                <w:szCs w:val="18"/>
                <w:lang w:val="en-US" w:eastAsia="zh-CN" w:bidi="ar"/>
              </w:rPr>
              <w:t xml:space="preserve">Ang B W：Su B．Carbon emission intensity in electricity production：A global analysis[J]．Energy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default" w:eastAsia="宋体" w:cs="宋体" w:asciiTheme="minorAscii" w:hAnsiTheme="minorAscii"/>
                <w:color w:val="000000"/>
                <w:kern w:val="0"/>
                <w:sz w:val="18"/>
                <w:szCs w:val="18"/>
                <w:lang w:val="en-US" w:eastAsia="zh-CN" w:bidi="ar"/>
              </w:rPr>
              <w:t xml:space="preserve">Policy,2016，94：56-63．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6</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default" w:eastAsia="宋体" w:cs="宋体" w:asciiTheme="minorAscii" w:hAnsiTheme="minorAscii"/>
                <w:color w:val="000000"/>
                <w:kern w:val="0"/>
                <w:sz w:val="18"/>
                <w:szCs w:val="18"/>
                <w:lang w:val="en-US" w:eastAsia="zh-CN" w:bidi="ar"/>
              </w:rPr>
              <w:t>Ma X，Wang C，Dong B，et a1．Carbon emissions from energy consumption in China：Its measurement and driving factors[J]．Science ofthe Total Environment．2019，648：1411．1420．</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7</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default" w:eastAsia="宋体" w:cs="Times New Roman" w:asciiTheme="minorAscii" w:hAnsiTheme="minorAscii"/>
                <w:color w:val="000000"/>
                <w:kern w:val="0"/>
                <w:sz w:val="18"/>
                <w:szCs w:val="18"/>
                <w:lang w:val="en-US" w:eastAsia="zh-CN" w:bidi="ar"/>
              </w:rPr>
              <w:t>Lund P. Impacts of EU carbon emission trade directive on energyintensive industries: Indicative micro-economic analyses[J]. Ecological Economics, 2007, 63(4): 799-806.</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8</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 xml:space="preserve">林伯强，蒋竺均．中国二氧化碳的环境库兹涅茨曲线预测及影响因紊分析[J]．管理世界， 2009，(04)：27-36．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9</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 xml:space="preserve">陈穗穗，赵煜．基于文献计量分析的中国环境库兹涅茨曲线研究综述[J]．邵阳学院学报(自然科学版)，2019，16(06)：107-116．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10</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 xml:space="preserve">朱永彬，刘晓，王铮．碳税政策的减排效果及其对我国经济的影响分析[J]．中国软科学， 2010，(04)：1-9+87．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11</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 xml:space="preserve">张友国，郑玉歆．碳强度约束的宏观效应和结构效应[J]．中国工业经济，2014，(06)：57．69．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12</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 xml:space="preserve">李森升．基于改进的历史基准线混合法的区域碳交易初始配额分配方法[J]．北京理工大学学报(社会科学版)，2018：l5-20．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13</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宋体" w:hAnsi="宋体" w:eastAsia="宋体" w:cs="宋体"/>
                <w:color w:val="000000"/>
                <w:kern w:val="0"/>
                <w:sz w:val="16"/>
                <w:szCs w:val="16"/>
                <w:lang w:val="en-US" w:eastAsia="zh-CN" w:bidi="ar"/>
              </w:rPr>
              <w:t>】</w:t>
            </w:r>
            <w:r>
              <w:rPr>
                <w:rFonts w:hint="eastAsia" w:ascii="宋体" w:hAnsi="宋体" w:eastAsia="宋体" w:cs="宋体"/>
                <w:color w:val="000000"/>
                <w:kern w:val="0"/>
                <w:sz w:val="18"/>
                <w:szCs w:val="18"/>
                <w:lang w:val="en-US" w:eastAsia="zh-CN" w:bidi="ar"/>
              </w:rPr>
              <w:t xml:space="preserve">朴英爱．碳交易与碳税：有效的温室气体减排政策组合[J]．东北师大学报(哲学社会科学 版)，2016，(4)：117一122．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14</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 xml:space="preserve">任亚运，傅京燕．碳交易的减排及绿色发展效应研究[J]．中国人口．资源与环境，2019，29(05)：1 1-20．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15</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邹璇，王盼．产业结构调整与能源消费结构优化[J]．软科学，2019，33(05)：11．16．</w:t>
            </w:r>
            <w:r>
              <w:rPr>
                <w:rFonts w:hint="eastAsia" w:ascii="宋体" w:hAnsi="宋体" w:eastAsia="宋体" w:cs="宋体"/>
                <w:color w:val="000000"/>
                <w:kern w:val="0"/>
                <w:sz w:val="15"/>
                <w:szCs w:val="15"/>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16</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孙宁华，江学迪．能源价格与中国宏观经济：动态模型与校准分析[J]．南开经济研究，2012，(02)：20—32．</w:t>
            </w:r>
            <w:r>
              <w:rPr>
                <w:rFonts w:hint="eastAsia" w:ascii="宋体" w:hAnsi="宋体" w:eastAsia="宋体" w:cs="宋体"/>
                <w:color w:val="000000"/>
                <w:kern w:val="0"/>
                <w:sz w:val="12"/>
                <w:szCs w:val="12"/>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17</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张强．中国碳税政策研究评述[J]．中国人口资源与环境，2014，3：43-49．</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18</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 xml:space="preserve">时佳瑞，蔡海琳． 基于CGE 模型的碳交易机制对中国经济环境影响研究[J]．中国管理科学，2015，1：12-18．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19</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范定祥．碳排放控制下的我国企业投资与管理研究[D]．湖南：湖南大学，2012：42-48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20</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 xml:space="preserve">程志超, 王丹， </w:t>
            </w:r>
            <w:r>
              <w:rPr>
                <w:rFonts w:hint="eastAsia" w:ascii="宋体" w:hAnsi="宋体" w:eastAsia="宋体" w:cs="宋体"/>
                <w:color w:val="333333"/>
                <w:kern w:val="0"/>
                <w:sz w:val="18"/>
                <w:szCs w:val="18"/>
                <w:lang w:val="en-US" w:eastAsia="zh-CN" w:bidi="ar"/>
              </w:rPr>
              <w:t>沈佩龙</w:t>
            </w:r>
            <w:r>
              <w:rPr>
                <w:rFonts w:hint="eastAsia" w:ascii="宋体" w:hAnsi="宋体" w:eastAsia="宋体" w:cs="宋体"/>
                <w:color w:val="000000"/>
                <w:kern w:val="0"/>
                <w:sz w:val="18"/>
                <w:szCs w:val="18"/>
                <w:lang w:val="en-US" w:eastAsia="zh-CN" w:bidi="ar"/>
              </w:rPr>
              <w:t>，</w:t>
            </w:r>
            <w:r>
              <w:rPr>
                <w:rFonts w:hint="eastAsia" w:ascii="宋体" w:hAnsi="宋体" w:eastAsia="宋体" w:cs="宋体"/>
                <w:color w:val="333333"/>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 xml:space="preserve">等． </w:t>
            </w:r>
            <w:r>
              <w:rPr>
                <w:rFonts w:hint="eastAsia" w:ascii="宋体" w:hAnsi="宋体" w:eastAsia="宋体" w:cs="宋体"/>
                <w:color w:val="333333"/>
                <w:kern w:val="0"/>
                <w:sz w:val="18"/>
                <w:szCs w:val="18"/>
                <w:lang w:val="en-US" w:eastAsia="zh-CN" w:bidi="ar"/>
              </w:rPr>
              <w:t>碳交易给中国节能减排目标带来的风险与机遇[J]</w:t>
            </w:r>
            <w:r>
              <w:rPr>
                <w:rFonts w:hint="eastAsia" w:ascii="宋体" w:hAnsi="宋体" w:eastAsia="宋体" w:cs="宋体"/>
                <w:color w:val="000000"/>
                <w:kern w:val="0"/>
                <w:sz w:val="18"/>
                <w:szCs w:val="18"/>
                <w:lang w:val="en-US" w:eastAsia="zh-CN" w:bidi="ar"/>
              </w:rPr>
              <w:t>．</w:t>
            </w:r>
            <w:r>
              <w:rPr>
                <w:rFonts w:hint="eastAsia" w:ascii="宋体" w:hAnsi="宋体" w:eastAsia="宋体" w:cs="宋体"/>
                <w:color w:val="333333"/>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北京理工大学学报，2011， 6：16-29．</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21</w:t>
            </w:r>
            <w:r>
              <w:rPr>
                <w:rFonts w:hint="eastAsia" w:ascii="宋体" w:hAnsi="宋体" w:eastAsia="宋体" w:cs="宋体"/>
                <w:b w:val="0"/>
                <w:bCs w:val="0"/>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赵盟，姜克隽，徐华清，等. EUETS对欧洲电力行业的影响及对我国的建议[J]．气候变化研究进展，2012，8（6）：462～468．</w:t>
            </w:r>
          </w:p>
          <w:p>
            <w:pPr>
              <w:keepNext w:val="0"/>
              <w:keepLines w:val="0"/>
              <w:widowControl/>
              <w:suppressLineNumbers w:val="0"/>
              <w:jc w:val="left"/>
              <w:rPr>
                <w:rFonts w:hint="default" w:asciiTheme="minorAscii" w:hAnsiTheme="minorAscii"/>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22</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铙蕾，曾骋．欧盟碳排放权交易制度对企业的经济影响分析[J]．环境保护，2008,392(3)：77-79．</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23</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杨抒，余洪斌．美国加州碳排放权交易经验借鉴[J]．认证技术，2013（9）：40～41，45 ．</w:t>
            </w:r>
          </w:p>
          <w:p>
            <w:pPr>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24</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江成瑶 ．中国碳排放交易体制的建立对电力行业的影响研究[D]． 北京：中国科学技术大学，2014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25</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 xml:space="preserve">马莉，张晓萱，蔡涛．碳交易：电力行业的机遇与挑战[N]. 国家电网报，2012-10-09（12）．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26</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骆跃军，骆志刚，赵黛青．电力行业的碳排放权交易机制研究[J]．环境科学与技术，2014（S1）：329～333，470．</w:t>
            </w:r>
          </w:p>
          <w:p>
            <w:pPr>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27</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default" w:eastAsia="宋体" w:cs="宋体" w:asciiTheme="minorAscii" w:hAnsiTheme="minorAscii"/>
                <w:color w:val="000000"/>
                <w:kern w:val="0"/>
                <w:sz w:val="18"/>
                <w:szCs w:val="18"/>
                <w:lang w:val="en-US" w:eastAsia="zh-CN" w:bidi="ar"/>
              </w:rPr>
              <w:t>冯宗宪，高赢．中国区域碳排放驱动因素、减排贡献及潜力探究</w:t>
            </w:r>
            <w:r>
              <w:rPr>
                <w:rFonts w:hint="eastAsia" w:eastAsia="宋体" w:cs="宋体" w:asciiTheme="minorAscii" w:hAnsiTheme="minorAscii"/>
                <w:color w:val="000000"/>
                <w:kern w:val="0"/>
                <w:sz w:val="18"/>
                <w:szCs w:val="18"/>
                <w:lang w:val="en-US" w:eastAsia="zh-CN" w:bidi="ar"/>
              </w:rPr>
              <w:t>[</w:t>
            </w:r>
            <w:r>
              <w:rPr>
                <w:rFonts w:hint="default" w:eastAsia="宋体" w:cs="宋体" w:asciiTheme="minorAscii" w:hAnsiTheme="minorAscii"/>
                <w:color w:val="000000"/>
                <w:kern w:val="0"/>
                <w:sz w:val="18"/>
                <w:szCs w:val="18"/>
                <w:lang w:val="en-US" w:eastAsia="zh-CN" w:bidi="ar"/>
              </w:rPr>
              <w:t>J</w:t>
            </w:r>
            <w:r>
              <w:rPr>
                <w:rFonts w:hint="eastAsia" w:eastAsia="宋体" w:cs="宋体" w:asciiTheme="minorAscii" w:hAnsiTheme="minorAscii"/>
                <w:color w:val="000000"/>
                <w:kern w:val="0"/>
                <w:sz w:val="18"/>
                <w:szCs w:val="18"/>
                <w:lang w:val="en-US" w:eastAsia="zh-CN" w:bidi="ar"/>
              </w:rPr>
              <w:t>]</w:t>
            </w:r>
            <w:r>
              <w:rPr>
                <w:rFonts w:hint="default" w:eastAsia="宋体" w:cs="宋体" w:asciiTheme="minorAscii" w:hAnsiTheme="minorAscii"/>
                <w:color w:val="000000"/>
                <w:kern w:val="0"/>
                <w:sz w:val="18"/>
                <w:szCs w:val="18"/>
                <w:lang w:val="en-US" w:eastAsia="zh-CN" w:bidi="ar"/>
              </w:rPr>
              <w:t>．北京理工大学学报(社会 科学版)，</w:t>
            </w:r>
            <w:r>
              <w:rPr>
                <w:rFonts w:hint="eastAsia" w:ascii="宋体" w:hAnsi="宋体" w:eastAsia="宋体" w:cs="宋体"/>
                <w:color w:val="000000"/>
                <w:kern w:val="0"/>
                <w:sz w:val="18"/>
                <w:szCs w:val="18"/>
                <w:lang w:val="en-US" w:eastAsia="zh-CN" w:bidi="ar"/>
              </w:rPr>
              <w:t>2019，21(04)：13—20．</w:t>
            </w:r>
            <w:r>
              <w:rPr>
                <w:rFonts w:hint="eastAsia" w:ascii="宋体" w:hAnsi="宋体" w:eastAsia="宋体" w:cs="宋体"/>
                <w:color w:val="000000"/>
                <w:kern w:val="0"/>
                <w:sz w:val="13"/>
                <w:szCs w:val="13"/>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28</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电力规划设计总院．火电工程限额设计参考造价指标（2013年水平）[M]． 第1版 ．北京：中国电力出版社，2014．</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29</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上海市发展和改革委员会关于印发《上海市2013～2015年碳排放配额分配和管理方案》的通知[J]． 上海建材，2013（6）：1～5．</w:t>
            </w:r>
          </w:p>
          <w:p>
            <w:pPr>
              <w:keepNext w:val="0"/>
              <w:keepLines w:val="0"/>
              <w:widowControl/>
              <w:suppressLineNumbers w:val="0"/>
              <w:jc w:val="left"/>
              <w:rPr>
                <w:rFonts w:hint="eastAsia" w:ascii="宋体" w:hAnsi="宋体" w:eastAsia="宋体" w:cs="宋体"/>
                <w:sz w:val="18"/>
                <w:szCs w:val="18"/>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29</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广东省发布2014年度碳排放配额分配实施方案[J]． 建材发展导向，2014，20：36．</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30</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王锋，吴丽华，杨超．中国经济发展中碳排放增长的驱动因素研究[J]．经济研究，2010，45(02)：123-136．</w:t>
            </w:r>
            <w:r>
              <w:rPr>
                <w:rFonts w:hint="eastAsia" w:ascii="宋体" w:hAnsi="宋体" w:eastAsia="宋体" w:cs="宋体"/>
                <w:color w:val="000000"/>
                <w:kern w:val="0"/>
                <w:sz w:val="13"/>
                <w:szCs w:val="13"/>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18"/>
                <w:szCs w:val="18"/>
                <w:lang w:val="en-US" w:eastAsia="zh-CN" w:bidi="ar"/>
              </w:rPr>
            </w:pP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Theme="minorEastAsia" w:hAnsiTheme="minorEastAsia" w:cstheme="minorEastAsia"/>
                <w:b w:val="0"/>
                <w:bCs w:val="0"/>
                <w:color w:val="000000"/>
                <w:kern w:val="0"/>
                <w:sz w:val="18"/>
                <w:szCs w:val="18"/>
                <w:lang w:val="en-US" w:eastAsia="zh-CN" w:bidi="ar"/>
              </w:rPr>
              <w:t>31</w:t>
            </w:r>
            <w:r>
              <w:rPr>
                <w:rFonts w:hint="eastAsia" w:asciiTheme="minorEastAsia" w:hAnsiTheme="minorEastAsia" w:eastAsiaTheme="minorEastAsia" w:cstheme="minorEastAsia"/>
                <w:b w:val="0"/>
                <w:bCs w:val="0"/>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李锴，齐绍洲．贸易开放、经济增长与中国二氧化碳排放[J]．经济研究，2011，46(11)：60．72+102．</w:t>
            </w:r>
          </w:p>
          <w:p>
            <w:pPr>
              <w:rPr>
                <w:rFonts w:ascii="宋体" w:hAnsi="宋体" w:eastAsia="宋体"/>
                <w:sz w:val="24"/>
                <w:szCs w:val="24"/>
              </w:rPr>
            </w:pPr>
          </w:p>
        </w:tc>
      </w:tr>
    </w:tbl>
    <w:p>
      <w:pPr>
        <w:rPr>
          <w:rFonts w:ascii="宋体" w:hAnsi="宋体" w:eastAsia="宋体"/>
          <w:sz w:val="32"/>
          <w:szCs w:val="32"/>
        </w:rPr>
      </w:pP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spacing w:line="360" w:lineRule="auto"/>
              <w:rPr>
                <w:rFonts w:ascii="宋体" w:hAnsi="宋体" w:eastAsia="宋体"/>
                <w:sz w:val="21"/>
                <w:szCs w:val="21"/>
              </w:rPr>
            </w:pPr>
            <w:r>
              <w:rPr>
                <w:rFonts w:hint="eastAsia" w:ascii="宋体" w:hAnsi="宋体" w:eastAsia="宋体"/>
                <w:sz w:val="21"/>
                <w:szCs w:val="21"/>
              </w:rPr>
              <w:t xml:space="preserve">题 </w:t>
            </w:r>
            <w:r>
              <w:rPr>
                <w:rFonts w:ascii="宋体" w:hAnsi="宋体" w:eastAsia="宋体"/>
                <w:sz w:val="21"/>
                <w:szCs w:val="21"/>
              </w:rPr>
              <w:t xml:space="preserve"> </w:t>
            </w:r>
            <w:r>
              <w:rPr>
                <w:rFonts w:hint="eastAsia" w:ascii="宋体" w:hAnsi="宋体" w:eastAsia="宋体"/>
                <w:sz w:val="21"/>
                <w:szCs w:val="21"/>
              </w:rPr>
              <w:t>目：</w:t>
            </w:r>
            <w:r>
              <w:rPr>
                <w:rFonts w:ascii="宋体" w:hAnsi="宋体" w:eastAsia="宋体"/>
                <w:sz w:val="21"/>
                <w:szCs w:val="21"/>
              </w:rPr>
              <w:t xml:space="preserve"> </w:t>
            </w:r>
            <w:r>
              <w:rPr>
                <w:rFonts w:hint="eastAsia" w:ascii="宋体" w:hAnsi="宋体" w:eastAsia="宋体"/>
                <w:sz w:val="21"/>
                <w:szCs w:val="21"/>
                <w:lang w:eastAsia="zh-CN"/>
              </w:rPr>
              <w:t>碳减排政策对电力能源结构投资的影响研究</w:t>
            </w:r>
          </w:p>
          <w:p>
            <w:pPr>
              <w:spacing w:line="360" w:lineRule="auto"/>
              <w:rPr>
                <w:rFonts w:ascii="宋体" w:hAnsi="宋体" w:eastAsia="宋体"/>
                <w:sz w:val="21"/>
                <w:szCs w:val="21"/>
              </w:rPr>
            </w:pPr>
            <w:r>
              <w:rPr>
                <w:rFonts w:hint="eastAsia" w:ascii="宋体" w:hAnsi="宋体" w:eastAsia="宋体"/>
                <w:sz w:val="21"/>
                <w:szCs w:val="21"/>
              </w:rPr>
              <w:t>主题词：</w:t>
            </w:r>
            <w:r>
              <w:rPr>
                <w:rFonts w:hint="eastAsia" w:ascii="宋体" w:hAnsi="宋体" w:eastAsia="宋体"/>
                <w:sz w:val="21"/>
                <w:szCs w:val="21"/>
                <w:lang w:eastAsia="zh-CN"/>
              </w:rPr>
              <w:t>碳减排、碳排放权交易、碳税、电力行业，投资影响</w:t>
            </w:r>
          </w:p>
          <w:p>
            <w:pPr>
              <w:spacing w:line="360" w:lineRule="auto"/>
              <w:rPr>
                <w:rFonts w:ascii="宋体" w:hAnsi="宋体" w:eastAsia="宋体"/>
                <w:sz w:val="21"/>
                <w:szCs w:val="21"/>
              </w:rPr>
            </w:pPr>
          </w:p>
          <w:p>
            <w:pPr>
              <w:spacing w:line="360" w:lineRule="auto"/>
              <w:rPr>
                <w:rFonts w:ascii="宋体" w:hAnsi="宋体" w:eastAsia="宋体"/>
                <w:sz w:val="21"/>
                <w:szCs w:val="21"/>
              </w:rPr>
            </w:pPr>
            <w:r>
              <w:rPr>
                <w:rFonts w:hint="eastAsia" w:ascii="宋体" w:hAnsi="宋体" w:eastAsia="宋体"/>
                <w:sz w:val="21"/>
                <w:szCs w:val="21"/>
              </w:rPr>
              <w:t>第</w:t>
            </w:r>
            <w:r>
              <w:rPr>
                <w:rFonts w:ascii="宋体" w:hAnsi="宋体" w:eastAsia="宋体"/>
                <w:sz w:val="21"/>
                <w:szCs w:val="21"/>
              </w:rPr>
              <w:t xml:space="preserve">1章 </w:t>
            </w:r>
            <w:r>
              <w:rPr>
                <w:rFonts w:hint="eastAsia" w:ascii="宋体" w:hAnsi="宋体" w:eastAsia="宋体"/>
                <w:sz w:val="21"/>
                <w:szCs w:val="21"/>
              </w:rPr>
              <w:t>绪论（引言）</w:t>
            </w:r>
          </w:p>
          <w:p>
            <w:pPr>
              <w:spacing w:line="360" w:lineRule="auto"/>
              <w:rPr>
                <w:rFonts w:hint="eastAsia" w:ascii="宋体" w:hAnsi="宋体" w:eastAsia="宋体"/>
                <w:sz w:val="21"/>
                <w:szCs w:val="21"/>
                <w:lang w:eastAsia="zh-CN"/>
              </w:rPr>
            </w:pPr>
            <w:r>
              <w:rPr>
                <w:rFonts w:ascii="宋体" w:hAnsi="宋体" w:eastAsia="宋体"/>
                <w:sz w:val="21"/>
                <w:szCs w:val="21"/>
              </w:rPr>
              <w:t xml:space="preserve">   1.1 </w:t>
            </w:r>
            <w:r>
              <w:rPr>
                <w:rFonts w:hint="eastAsia" w:ascii="宋体" w:hAnsi="宋体" w:eastAsia="宋体"/>
                <w:sz w:val="21"/>
                <w:szCs w:val="21"/>
                <w:lang w:eastAsia="zh-CN"/>
              </w:rPr>
              <w:t>选题背景和意义</w:t>
            </w:r>
          </w:p>
          <w:p>
            <w:pPr>
              <w:spacing w:line="360" w:lineRule="auto"/>
              <w:rPr>
                <w:rFonts w:hint="eastAsia" w:ascii="宋体" w:hAnsi="宋体" w:eastAsia="宋体"/>
                <w:sz w:val="21"/>
                <w:szCs w:val="21"/>
                <w:lang w:val="en-US" w:eastAsia="zh-CN"/>
              </w:rPr>
            </w:pPr>
            <w:r>
              <w:rPr>
                <w:rFonts w:hint="eastAsia" w:ascii="宋体" w:hAnsi="宋体" w:eastAsia="宋体"/>
                <w:sz w:val="21"/>
                <w:szCs w:val="21"/>
                <w:lang w:val="en-US" w:eastAsia="zh-CN"/>
              </w:rPr>
              <w:t xml:space="preserve">   1.2 研究主要内容、研究方法和创新点</w:t>
            </w:r>
          </w:p>
          <w:p>
            <w:pPr>
              <w:numPr>
                <w:ilvl w:val="0"/>
                <w:numId w:val="2"/>
              </w:numPr>
              <w:spacing w:line="360" w:lineRule="auto"/>
              <w:rPr>
                <w:rFonts w:hint="eastAsia" w:ascii="宋体" w:hAnsi="宋体" w:eastAsia="宋体"/>
                <w:sz w:val="21"/>
                <w:szCs w:val="21"/>
                <w:lang w:val="en-US" w:eastAsia="zh-CN"/>
              </w:rPr>
            </w:pPr>
            <w:r>
              <w:rPr>
                <w:rFonts w:hint="eastAsia" w:ascii="宋体" w:hAnsi="宋体" w:eastAsia="宋体"/>
                <w:sz w:val="21"/>
                <w:szCs w:val="21"/>
                <w:lang w:val="en-US" w:eastAsia="zh-CN"/>
              </w:rPr>
              <w:t>国内外碳市场研究现状</w:t>
            </w:r>
          </w:p>
          <w:p>
            <w:pPr>
              <w:widowControl w:val="0"/>
              <w:numPr>
                <w:ilvl w:val="0"/>
                <w:numId w:val="0"/>
              </w:numPr>
              <w:spacing w:line="360" w:lineRule="auto"/>
              <w:jc w:val="both"/>
              <w:rPr>
                <w:rFonts w:hint="eastAsia" w:ascii="宋体" w:hAnsi="宋体" w:eastAsia="宋体"/>
                <w:sz w:val="21"/>
                <w:szCs w:val="21"/>
                <w:lang w:val="en-US" w:eastAsia="zh-CN"/>
              </w:rPr>
            </w:pPr>
            <w:r>
              <w:rPr>
                <w:rFonts w:hint="eastAsia" w:ascii="宋体" w:hAnsi="宋体" w:eastAsia="宋体"/>
                <w:sz w:val="21"/>
                <w:szCs w:val="21"/>
                <w:lang w:val="en-US" w:eastAsia="zh-CN"/>
              </w:rPr>
              <w:t xml:space="preserve">   2.1 国内外碳排放权交易的发展现状以及对电力行业的影响</w:t>
            </w:r>
          </w:p>
          <w:p>
            <w:pPr>
              <w:widowControl w:val="0"/>
              <w:numPr>
                <w:ilvl w:val="0"/>
                <w:numId w:val="0"/>
              </w:numPr>
              <w:spacing w:line="360" w:lineRule="auto"/>
              <w:jc w:val="both"/>
              <w:rPr>
                <w:rFonts w:hint="eastAsia" w:ascii="宋体" w:hAnsi="宋体" w:eastAsia="宋体"/>
                <w:sz w:val="21"/>
                <w:szCs w:val="21"/>
                <w:lang w:val="en-US" w:eastAsia="zh-CN"/>
              </w:rPr>
            </w:pPr>
            <w:r>
              <w:rPr>
                <w:rFonts w:hint="eastAsia" w:ascii="宋体" w:hAnsi="宋体" w:eastAsia="宋体"/>
                <w:sz w:val="21"/>
                <w:szCs w:val="21"/>
                <w:lang w:val="en-US" w:eastAsia="zh-CN"/>
              </w:rPr>
              <w:t xml:space="preserve">   2.2 国内外关于电力企业投资行为受环境管制政策影响的研究</w:t>
            </w:r>
          </w:p>
          <w:p>
            <w:pPr>
              <w:numPr>
                <w:ilvl w:val="0"/>
                <w:numId w:val="2"/>
              </w:numPr>
              <w:spacing w:line="360" w:lineRule="auto"/>
              <w:rPr>
                <w:rFonts w:hint="eastAsia" w:ascii="宋体" w:hAnsi="宋体" w:eastAsia="宋体"/>
                <w:sz w:val="21"/>
                <w:szCs w:val="21"/>
                <w:lang w:val="en-US" w:eastAsia="zh-CN"/>
              </w:rPr>
            </w:pPr>
            <w:r>
              <w:rPr>
                <w:rFonts w:hint="eastAsia" w:ascii="宋体" w:hAnsi="宋体" w:eastAsia="宋体"/>
                <w:sz w:val="21"/>
                <w:szCs w:val="21"/>
                <w:lang w:val="en-US" w:eastAsia="zh-CN"/>
              </w:rPr>
              <w:t>国内碳排放权交易政策下的电力能源结构发展现状</w:t>
            </w:r>
          </w:p>
          <w:p>
            <w:pPr>
              <w:widowControl w:val="0"/>
              <w:numPr>
                <w:ilvl w:val="0"/>
                <w:numId w:val="0"/>
              </w:numPr>
              <w:spacing w:line="360" w:lineRule="auto"/>
              <w:jc w:val="both"/>
              <w:rPr>
                <w:rFonts w:hint="eastAsia" w:ascii="宋体" w:hAnsi="宋体" w:eastAsia="宋体"/>
                <w:sz w:val="21"/>
                <w:szCs w:val="21"/>
                <w:lang w:val="en-US" w:eastAsia="zh-CN"/>
              </w:rPr>
            </w:pPr>
            <w:r>
              <w:rPr>
                <w:rFonts w:hint="eastAsia" w:ascii="宋体" w:hAnsi="宋体" w:eastAsia="宋体"/>
                <w:sz w:val="21"/>
                <w:szCs w:val="21"/>
                <w:lang w:val="en-US" w:eastAsia="zh-CN"/>
              </w:rPr>
              <w:t xml:space="preserve">   3.1 国内碳排放权交易政策在电力行业的发展现状</w:t>
            </w:r>
          </w:p>
          <w:p>
            <w:pPr>
              <w:widowControl w:val="0"/>
              <w:numPr>
                <w:ilvl w:val="0"/>
                <w:numId w:val="0"/>
              </w:numPr>
              <w:spacing w:line="360" w:lineRule="auto"/>
              <w:jc w:val="both"/>
              <w:rPr>
                <w:rFonts w:hint="eastAsia" w:ascii="宋体" w:hAnsi="宋体" w:eastAsia="宋体"/>
                <w:sz w:val="21"/>
                <w:szCs w:val="21"/>
                <w:lang w:val="en-US" w:eastAsia="zh-CN"/>
              </w:rPr>
            </w:pPr>
            <w:r>
              <w:rPr>
                <w:rFonts w:hint="eastAsia" w:ascii="宋体" w:hAnsi="宋体" w:eastAsia="宋体"/>
                <w:sz w:val="21"/>
                <w:szCs w:val="21"/>
                <w:lang w:val="en-US" w:eastAsia="zh-CN"/>
              </w:rPr>
              <w:t xml:space="preserve">   3.2 国内碳排放权交易政策对火电投资影响</w:t>
            </w:r>
          </w:p>
          <w:p>
            <w:pPr>
              <w:widowControl w:val="0"/>
              <w:numPr>
                <w:ilvl w:val="0"/>
                <w:numId w:val="0"/>
              </w:numPr>
              <w:spacing w:line="360" w:lineRule="auto"/>
              <w:jc w:val="both"/>
              <w:rPr>
                <w:rFonts w:hint="eastAsia" w:ascii="宋体" w:hAnsi="宋体" w:eastAsia="宋体"/>
                <w:sz w:val="21"/>
                <w:szCs w:val="21"/>
                <w:lang w:val="en-US" w:eastAsia="zh-CN"/>
              </w:rPr>
            </w:pPr>
            <w:r>
              <w:rPr>
                <w:rFonts w:hint="eastAsia" w:ascii="宋体" w:hAnsi="宋体" w:eastAsia="宋体"/>
                <w:sz w:val="21"/>
                <w:szCs w:val="21"/>
                <w:lang w:val="en-US" w:eastAsia="zh-CN"/>
              </w:rPr>
              <w:t xml:space="preserve">   3.3 国内碳排放交易权政策对新能源投资影响</w:t>
            </w:r>
          </w:p>
          <w:p>
            <w:pPr>
              <w:widowControl w:val="0"/>
              <w:numPr>
                <w:ilvl w:val="0"/>
                <w:numId w:val="0"/>
              </w:numPr>
              <w:spacing w:line="360" w:lineRule="auto"/>
              <w:jc w:val="both"/>
              <w:rPr>
                <w:rFonts w:hint="eastAsia" w:ascii="宋体" w:hAnsi="宋体" w:eastAsia="宋体"/>
                <w:sz w:val="21"/>
                <w:szCs w:val="21"/>
                <w:lang w:val="en-US" w:eastAsia="zh-CN"/>
              </w:rPr>
            </w:pPr>
            <w:r>
              <w:rPr>
                <w:rFonts w:hint="eastAsia" w:ascii="宋体" w:hAnsi="宋体" w:eastAsia="宋体"/>
                <w:sz w:val="21"/>
                <w:szCs w:val="21"/>
                <w:lang w:val="en-US" w:eastAsia="zh-CN"/>
              </w:rPr>
              <w:t xml:space="preserve">   3.4 本章小结</w:t>
            </w:r>
          </w:p>
          <w:p>
            <w:pPr>
              <w:numPr>
                <w:ilvl w:val="0"/>
                <w:numId w:val="2"/>
              </w:numPr>
              <w:spacing w:line="360" w:lineRule="auto"/>
              <w:rPr>
                <w:rFonts w:hint="eastAsia" w:ascii="宋体" w:hAnsi="宋体" w:eastAsia="宋体"/>
                <w:sz w:val="21"/>
                <w:szCs w:val="21"/>
                <w:lang w:val="en-US" w:eastAsia="zh-CN"/>
              </w:rPr>
            </w:pPr>
            <w:bookmarkStart w:id="1" w:name="OLE_LINK1"/>
            <w:r>
              <w:rPr>
                <w:rFonts w:hint="eastAsia" w:ascii="宋体" w:hAnsi="宋体" w:eastAsia="宋体"/>
                <w:sz w:val="21"/>
                <w:szCs w:val="21"/>
                <w:lang w:val="en-US" w:eastAsia="zh-CN"/>
              </w:rPr>
              <w:t>国内碳排放交易权政策在电力行业实施效果分析</w:t>
            </w:r>
          </w:p>
          <w:bookmarkEnd w:id="1"/>
          <w:p>
            <w:pPr>
              <w:widowControl w:val="0"/>
              <w:numPr>
                <w:ilvl w:val="0"/>
                <w:numId w:val="0"/>
              </w:numPr>
              <w:spacing w:line="360" w:lineRule="auto"/>
              <w:jc w:val="both"/>
              <w:rPr>
                <w:rFonts w:hint="eastAsia" w:ascii="宋体" w:hAnsi="宋体" w:eastAsia="宋体"/>
                <w:sz w:val="21"/>
                <w:szCs w:val="21"/>
                <w:lang w:val="en-US" w:eastAsia="zh-CN"/>
              </w:rPr>
            </w:pPr>
            <w:r>
              <w:rPr>
                <w:rFonts w:hint="eastAsia" w:ascii="宋体" w:hAnsi="宋体" w:eastAsia="宋体"/>
                <w:sz w:val="21"/>
                <w:szCs w:val="21"/>
                <w:lang w:val="en-US" w:eastAsia="zh-CN"/>
              </w:rPr>
              <w:t xml:space="preserve">   </w:t>
            </w:r>
            <w:bookmarkStart w:id="2" w:name="OLE_LINK2"/>
            <w:r>
              <w:rPr>
                <w:rFonts w:hint="eastAsia" w:ascii="宋体" w:hAnsi="宋体" w:eastAsia="宋体"/>
                <w:sz w:val="21"/>
                <w:szCs w:val="21"/>
                <w:lang w:val="en-US" w:eastAsia="zh-CN"/>
              </w:rPr>
              <w:t>4.1 试点省市数据来源以及变量的选取</w:t>
            </w:r>
          </w:p>
          <w:p>
            <w:pPr>
              <w:widowControl w:val="0"/>
              <w:numPr>
                <w:ilvl w:val="0"/>
                <w:numId w:val="0"/>
              </w:numPr>
              <w:spacing w:line="360" w:lineRule="auto"/>
              <w:jc w:val="both"/>
              <w:rPr>
                <w:rFonts w:hint="eastAsia" w:ascii="宋体" w:hAnsi="宋体" w:eastAsia="宋体"/>
                <w:sz w:val="21"/>
                <w:szCs w:val="21"/>
                <w:lang w:val="en-US" w:eastAsia="zh-CN"/>
              </w:rPr>
            </w:pPr>
            <w:r>
              <w:rPr>
                <w:rFonts w:hint="eastAsia" w:ascii="宋体" w:hAnsi="宋体" w:eastAsia="宋体"/>
                <w:sz w:val="21"/>
                <w:szCs w:val="21"/>
                <w:lang w:val="en-US" w:eastAsia="zh-CN"/>
              </w:rPr>
              <w:t xml:space="preserve">   4.2 构建双重差分模型分析</w:t>
            </w:r>
          </w:p>
          <w:p>
            <w:pPr>
              <w:widowControl w:val="0"/>
              <w:numPr>
                <w:ilvl w:val="0"/>
                <w:numId w:val="0"/>
              </w:numPr>
              <w:spacing w:line="360" w:lineRule="auto"/>
              <w:jc w:val="both"/>
              <w:rPr>
                <w:rFonts w:hint="eastAsia" w:ascii="宋体" w:hAnsi="宋体" w:eastAsia="宋体"/>
                <w:sz w:val="21"/>
                <w:szCs w:val="21"/>
                <w:lang w:val="en-US" w:eastAsia="zh-CN"/>
              </w:rPr>
            </w:pPr>
            <w:r>
              <w:rPr>
                <w:rFonts w:hint="eastAsia" w:ascii="宋体" w:hAnsi="宋体" w:eastAsia="宋体"/>
                <w:sz w:val="21"/>
                <w:szCs w:val="21"/>
                <w:lang w:val="en-US" w:eastAsia="zh-CN"/>
              </w:rPr>
              <w:t xml:space="preserve">   4.3 本章小结</w:t>
            </w:r>
          </w:p>
          <w:bookmarkEnd w:id="2"/>
          <w:p>
            <w:pPr>
              <w:numPr>
                <w:ilvl w:val="0"/>
                <w:numId w:val="2"/>
              </w:numPr>
              <w:spacing w:line="360" w:lineRule="auto"/>
              <w:rPr>
                <w:rFonts w:hint="eastAsia" w:ascii="宋体" w:hAnsi="宋体" w:eastAsia="宋体"/>
                <w:sz w:val="21"/>
                <w:szCs w:val="21"/>
                <w:lang w:val="en-US" w:eastAsia="zh-CN"/>
              </w:rPr>
            </w:pPr>
            <w:r>
              <w:rPr>
                <w:rFonts w:hint="eastAsia" w:ascii="宋体" w:hAnsi="宋体" w:eastAsia="宋体"/>
                <w:sz w:val="21"/>
                <w:szCs w:val="21"/>
                <w:lang w:val="en-US" w:eastAsia="zh-CN"/>
              </w:rPr>
              <w:t>结论</w:t>
            </w:r>
          </w:p>
          <w:p>
            <w:pPr>
              <w:widowControl w:val="0"/>
              <w:numPr>
                <w:ilvl w:val="0"/>
                <w:numId w:val="0"/>
              </w:numPr>
              <w:spacing w:line="360" w:lineRule="auto"/>
              <w:jc w:val="both"/>
              <w:rPr>
                <w:rFonts w:hint="eastAsia" w:ascii="宋体" w:hAnsi="宋体" w:eastAsia="宋体"/>
                <w:sz w:val="21"/>
                <w:szCs w:val="21"/>
                <w:lang w:val="en-US" w:eastAsia="zh-CN"/>
              </w:rPr>
            </w:pPr>
            <w:r>
              <w:rPr>
                <w:rFonts w:hint="eastAsia" w:ascii="宋体" w:hAnsi="宋体" w:eastAsia="宋体"/>
                <w:sz w:val="21"/>
                <w:szCs w:val="21"/>
                <w:lang w:val="en-US" w:eastAsia="zh-CN"/>
              </w:rPr>
              <w:t xml:space="preserve">   5.1 研究结论</w:t>
            </w:r>
          </w:p>
          <w:p>
            <w:pPr>
              <w:widowControl w:val="0"/>
              <w:numPr>
                <w:ilvl w:val="0"/>
                <w:numId w:val="0"/>
              </w:numPr>
              <w:spacing w:line="360" w:lineRule="auto"/>
              <w:jc w:val="both"/>
              <w:rPr>
                <w:rFonts w:hint="eastAsia" w:ascii="宋体" w:hAnsi="宋体" w:eastAsia="宋体"/>
                <w:sz w:val="21"/>
                <w:szCs w:val="21"/>
                <w:lang w:val="en-US" w:eastAsia="zh-CN"/>
              </w:rPr>
            </w:pPr>
            <w:r>
              <w:rPr>
                <w:rFonts w:hint="eastAsia" w:ascii="宋体" w:hAnsi="宋体" w:eastAsia="宋体"/>
                <w:sz w:val="21"/>
                <w:szCs w:val="21"/>
                <w:lang w:val="en-US" w:eastAsia="zh-CN"/>
              </w:rPr>
              <w:t xml:space="preserve">   5.2 研究展望</w:t>
            </w:r>
          </w:p>
          <w:p>
            <w:pPr>
              <w:widowControl w:val="0"/>
              <w:numPr>
                <w:ilvl w:val="0"/>
                <w:numId w:val="0"/>
              </w:numPr>
              <w:spacing w:line="360" w:lineRule="auto"/>
              <w:jc w:val="both"/>
              <w:rPr>
                <w:rFonts w:hint="eastAsia" w:ascii="宋体" w:hAnsi="宋体" w:eastAsia="宋体"/>
                <w:sz w:val="21"/>
                <w:szCs w:val="21"/>
                <w:lang w:val="en-US" w:eastAsia="zh-CN"/>
              </w:rPr>
            </w:pPr>
            <w:r>
              <w:rPr>
                <w:rFonts w:hint="eastAsia" w:ascii="宋体" w:hAnsi="宋体" w:eastAsia="宋体"/>
                <w:sz w:val="21"/>
                <w:szCs w:val="21"/>
                <w:lang w:val="en-US" w:eastAsia="zh-CN"/>
              </w:rPr>
              <w:t>参考文献</w:t>
            </w:r>
          </w:p>
          <w:p>
            <w:pPr>
              <w:widowControl w:val="0"/>
              <w:numPr>
                <w:ilvl w:val="0"/>
                <w:numId w:val="0"/>
              </w:numPr>
              <w:spacing w:line="360" w:lineRule="auto"/>
              <w:jc w:val="both"/>
              <w:rPr>
                <w:rFonts w:hint="eastAsia" w:ascii="宋体" w:hAnsi="宋体" w:eastAsia="宋体"/>
                <w:sz w:val="21"/>
                <w:szCs w:val="21"/>
                <w:lang w:val="en-US" w:eastAsia="zh-CN"/>
              </w:rPr>
            </w:pPr>
            <w:r>
              <w:rPr>
                <w:rFonts w:hint="eastAsia" w:ascii="宋体" w:hAnsi="宋体" w:eastAsia="宋体"/>
                <w:sz w:val="21"/>
                <w:szCs w:val="21"/>
                <w:lang w:val="en-US" w:eastAsia="zh-CN"/>
              </w:rPr>
              <w:t>致谢</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w:t>
            </w:r>
          </w:p>
          <w:p>
            <w:pPr>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HiddenHorzOCR">
    <w:altName w:val="MS Mincho"/>
    <w:panose1 w:val="00000000000000000000"/>
    <w:charset w:val="80"/>
    <w:family w:val="auto"/>
    <w:pitch w:val="default"/>
    <w:sig w:usb0="00000000" w:usb1="00000000" w:usb2="00000010" w:usb3="00000000" w:csb0="00020000" w:csb1="00000000"/>
  </w:font>
  <w:font w:name="MS Mincho">
    <w:panose1 w:val="02020609040205080304"/>
    <w:charset w:val="80"/>
    <w:family w:val="auto"/>
    <w:pitch w:val="default"/>
    <w:sig w:usb0="E00002FF" w:usb1="6AC7FDFB" w:usb2="00000012" w:usb3="00000000" w:csb0="4002009F" w:csb1="DFD70000"/>
  </w:font>
  <w:font w:name="Yu Gothic">
    <w:altName w:val="MS UI Gothic"/>
    <w:panose1 w:val="020B0400000000000000"/>
    <w:charset w:val="80"/>
    <w:family w:val="swiss"/>
    <w:pitch w:val="default"/>
    <w:sig w:usb0="00000000" w:usb1="00000000" w:usb2="00000016" w:usb3="00000000" w:csb0="0002009F" w:csb1="00000000"/>
  </w:font>
  <w:font w:name="MS UI Gothic">
    <w:panose1 w:val="020B0600070205080204"/>
    <w:charset w:val="80"/>
    <w:family w:val="auto"/>
    <w:pitch w:val="default"/>
    <w:sig w:usb0="E00002FF" w:usb1="6AC7FDFB" w:usb2="00000012" w:usb3="00000000" w:csb0="4002009F" w:csb1="DFD70000"/>
  </w:font>
  <w:font w:name="仿宋">
    <w:panose1 w:val="02010609060101010101"/>
    <w:charset w:val="86"/>
    <w:family w:val="modern"/>
    <w:pitch w:val="default"/>
    <w:sig w:usb0="800002BF" w:usb1="38CF7CFA" w:usb2="00000016" w:usb3="00000000" w:csb0="00040001" w:csb1="00000000"/>
  </w:font>
  <w:font w:name="等线">
    <w:altName w:val="微软雅黑"/>
    <w:panose1 w:val="00000000000000000000"/>
    <w:charset w:val="00"/>
    <w:family w:val="auto"/>
    <w:pitch w:val="default"/>
    <w:sig w:usb0="00000000" w:usb1="00000000" w:usb2="00000000" w:usb3="00000000" w:csb0="00000000" w:csb1="00000000"/>
  </w:font>
  <w:font w:name="Utsaah">
    <w:panose1 w:val="020B0604020202020204"/>
    <w:charset w:val="00"/>
    <w:family w:val="auto"/>
    <w:pitch w:val="default"/>
    <w:sig w:usb0="00008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CB454"/>
    <w:multiLevelType w:val="singleLevel"/>
    <w:tmpl w:val="61CCB454"/>
    <w:lvl w:ilvl="0" w:tentative="0">
      <w:start w:val="2"/>
      <w:numFmt w:val="decimal"/>
      <w:suff w:val="nothing"/>
      <w:lvlText w:val="%1."/>
      <w:lvlJc w:val="left"/>
    </w:lvl>
  </w:abstractNum>
  <w:abstractNum w:abstractNumId="1">
    <w:nsid w:val="61CE5724"/>
    <w:multiLevelType w:val="singleLevel"/>
    <w:tmpl w:val="61CE5724"/>
    <w:lvl w:ilvl="0" w:tentative="0">
      <w:start w:val="2"/>
      <w:numFmt w:val="decimal"/>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5F94DCD"/>
    <w:rsid w:val="079B26AB"/>
    <w:rsid w:val="11B77CDA"/>
    <w:rsid w:val="1C9755F6"/>
    <w:rsid w:val="1EA565A9"/>
    <w:rsid w:val="2BB25461"/>
    <w:rsid w:val="32E66484"/>
    <w:rsid w:val="34917094"/>
    <w:rsid w:val="3A494C37"/>
    <w:rsid w:val="3EFF59A8"/>
    <w:rsid w:val="3FAA7139"/>
    <w:rsid w:val="4E4F0520"/>
    <w:rsid w:val="508306D4"/>
    <w:rsid w:val="50D63431"/>
    <w:rsid w:val="539A1529"/>
    <w:rsid w:val="56474740"/>
    <w:rsid w:val="5B5217FA"/>
    <w:rsid w:val="5D1A72F1"/>
    <w:rsid w:val="616C21A0"/>
    <w:rsid w:val="68D13AFF"/>
    <w:rsid w:val="6B993DCE"/>
    <w:rsid w:val="71306FDD"/>
    <w:rsid w:val="722D3A73"/>
    <w:rsid w:val="74A73BD2"/>
    <w:rsid w:val="773A3345"/>
    <w:rsid w:val="783B18B5"/>
    <w:rsid w:val="78883729"/>
    <w:rsid w:val="7C3F5CF3"/>
    <w:rsid w:val="7CD50864"/>
    <w:rsid w:val="7F0A357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
    <w:basedOn w:val="1"/>
    <w:qFormat/>
    <w:uiPriority w:val="34"/>
    <w:pPr>
      <w:ind w:firstLine="420" w:firstLineChars="200"/>
    </w:p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ScaleCrop>false</ScaleCrop>
  <LinksUpToDate>false</LinksUpToDate>
  <CharactersWithSpaces>2255</CharactersWithSpaces>
  <Application>WPS Office_10.8.0.6018_F1E327BC-269C-435d-A152-05C5408002CA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jikongshi</cp:lastModifiedBy>
  <cp:lastPrinted>2021-12-14T10:40:00Z</cp:lastPrinted>
  <dcterms:modified xsi:type="dcterms:W3CDTF">2022-01-06T08:39:03Z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2052-10.8.0.6018</vt:lpwstr>
  </property>
  <property fmtid="{D5CDD505-2E9C-101B-9397-08002B2CF9AE}" pid="3" name="ICV">
    <vt:lpwstr>E9D1640932B546CDB7327DF4D7F6CA68</vt:lpwstr>
  </property>
</Properties>
</file>