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6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91040399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孔丰逸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13917981883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kongfengyi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1993@163.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华东师范大学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社会工作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中国平安人寿保险股份有限公司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外勤薪酬绩效管理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360" w:firstLineChars="150"/>
              <w:jc w:val="left"/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本人于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2016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7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月毕业于华东师范大学社会工作专业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第二学位为法语专业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并与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2019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年就读于上海人大人企业经济学专业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职业生涯起步于新华保险管理培训生，先后在业务前后线轮岗历练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目前就职于平安人寿保险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已有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 xml:space="preserve"> 5年以上人力从业经验，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主要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提供薪酬福利、绩效方案、人力资源战略规划建议，为公司业务创造价值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。</w:t>
            </w:r>
          </w:p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5173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“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互联网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+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”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背景下中国传统保险公司未来发展研究与其实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《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学海拾贝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: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上海人大人学员论文集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.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十七</w:t>
            </w:r>
            <w:r>
              <w:rPr>
                <w:rFonts w:ascii="宋体" w:hAnsi="宋体" w:eastAsia="宋体"/>
                <w:sz w:val="24"/>
              </w:rPr>
              <w:t>》ISBN 978-7-5427-7824-6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360" w:firstLineChars="15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随着互联网、大数据、云计算的兴起和广泛使用，人们的生活方式及消费行为发生了翻天覆地的变化。对企业来说，面临着的则是全新的营销环境及产品营销模式的新定位。“互联网+保险”作为一种近期被提出的商业模式，正在逐渐改变传统保险公司的产品提供和服务模式，也推动了保险公司的创新和变革。本文主要论述了“互联网+”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保险公司发展带来的新变革，分析新经济形态下传统保险公司遇到的挑战，旨在积极推动中国传统保险公司与互联网的紧密结合，带动传统保险公司的数字化转型升级，进而增强我国传统保险公司的行业竞争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360" w:firstLineChars="150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主要涉及理论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：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劳动经济学</w:t>
            </w:r>
          </w:p>
          <w:p>
            <w:pPr>
              <w:ind w:firstLine="360" w:firstLineChars="150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写作方向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：</w:t>
            </w:r>
          </w:p>
          <w:p>
            <w:pPr>
              <w:ind w:firstLine="360" w:firstLineChars="150"/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受新冠疫情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保险行业监管加强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人口红利逐渐消失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投资端“暴雷”等因素影响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，21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年保险行业整体呈现低迷走势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五大上市险企寿险业务增速持续放缓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并呈现“三升两降”分化态势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不少企业主动出击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正处于寿险改革进行时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即重塑人身险行业的经营模式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引导行业回归需求端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寻找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开发多元化保险产品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并对保险销售渠道提出新要求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寻求模式突破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提升销售人员产能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。《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保险营销人员管理基本法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》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作为人员管理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职业发展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薪酬绩效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考核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组织发展的根本管理制度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应发挥“指挥棒”作用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配合企业改革方向不断迭代优化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发挥牵引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激励作用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优化投产效益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</w:p>
          <w:p>
            <w:pPr>
              <w:ind w:firstLine="360" w:firstLineChars="150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本论文想通过</w:t>
            </w:r>
            <w:r>
              <w:rPr>
                <w:rFonts w:hint="eastAsia" w:ascii="宋体" w:hAnsi="宋体" w:eastAsia="宋体"/>
                <w:sz w:val="24"/>
                <w:highlight w:val="none"/>
                <w:lang w:val="en-US" w:eastAsia="zh-Hans"/>
              </w:rPr>
              <w:t>人事管理经济学</w:t>
            </w:r>
            <w:r>
              <w:rPr>
                <w:rFonts w:hint="default" w:ascii="宋体" w:hAnsi="宋体" w:eastAsia="宋体"/>
                <w:sz w:val="24"/>
                <w:highlight w:val="none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highlight w:val="none"/>
                <w:lang w:val="en-US" w:eastAsia="zh-Hans"/>
              </w:rPr>
              <w:t>资历的回报率</w:t>
            </w:r>
            <w:r>
              <w:rPr>
                <w:rFonts w:hint="default" w:ascii="宋体" w:hAnsi="宋体" w:eastAsia="宋体"/>
                <w:sz w:val="24"/>
                <w:highlight w:val="none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highlight w:val="none"/>
                <w:lang w:val="en-US" w:eastAsia="zh-Hans"/>
              </w:rPr>
              <w:t>员工激励中的行为理论</w:t>
            </w:r>
            <w:r>
              <w:rPr>
                <w:rFonts w:hint="default" w:ascii="宋体" w:hAnsi="宋体" w:eastAsia="宋体"/>
                <w:sz w:val="24"/>
                <w:highlight w:val="none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highlight w:val="none"/>
                <w:lang w:val="en-US" w:eastAsia="zh-Hans"/>
              </w:rPr>
              <w:t>人力资本投资决定模型</w:t>
            </w:r>
            <w:r>
              <w:rPr>
                <w:rFonts w:hint="default" w:ascii="宋体" w:hAnsi="宋体" w:eastAsia="宋体"/>
                <w:sz w:val="24"/>
                <w:highlight w:val="none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highlight w:val="none"/>
                <w:lang w:val="en-US" w:eastAsia="zh-Hans"/>
              </w:rPr>
              <w:t>效率工资理论等劳动经济学相关理论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着重研究在当前寿险改革下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寿险销售人员绩效激励机</w:t>
            </w:r>
            <w:r>
              <w:rPr>
                <w:rFonts w:hint="eastAsia" w:ascii="宋体" w:hAnsi="宋体" w:eastAsia="宋体"/>
                <w:sz w:val="24"/>
                <w:highlight w:val="none"/>
                <w:lang w:val="en-US" w:eastAsia="zh-Hans"/>
              </w:rPr>
              <w:t>制迭代升级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对个人效能产出效果的实证分析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旨在积极推动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行业改革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提出可参考建议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寿险营销员绩效激励机制</w:t>
            </w:r>
            <w:r>
              <w:rPr>
                <w:rFonts w:hint="eastAsia" w:ascii="宋体" w:hAnsi="宋体" w:eastAsia="宋体"/>
                <w:sz w:val="24"/>
                <w:highlight w:val="none"/>
                <w:lang w:val="en-US" w:eastAsia="zh-CN"/>
              </w:rPr>
              <w:t>改革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对个人效能产出效果的实证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</w:t>
            </w:r>
          </w:p>
        </w:tc>
      </w:tr>
    </w:tbl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Confetti">
    <w:altName w:val="苹方-简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TXingka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FDB9450"/>
    <w:rsid w:val="2DE47A00"/>
    <w:rsid w:val="37CEFD88"/>
    <w:rsid w:val="3EEBE299"/>
    <w:rsid w:val="3FFB887A"/>
    <w:rsid w:val="5C6E538D"/>
    <w:rsid w:val="5FDD679B"/>
    <w:rsid w:val="6B914D56"/>
    <w:rsid w:val="79F77550"/>
    <w:rsid w:val="7A3FAE29"/>
    <w:rsid w:val="7B7EADB5"/>
    <w:rsid w:val="7CFFC2F9"/>
    <w:rsid w:val="7FE7F1C3"/>
    <w:rsid w:val="9DB5B370"/>
    <w:rsid w:val="B379A333"/>
    <w:rsid w:val="B7F719FB"/>
    <w:rsid w:val="BEEF6AB5"/>
    <w:rsid w:val="BEF8E9EC"/>
    <w:rsid w:val="DBF71903"/>
    <w:rsid w:val="DFEF778D"/>
    <w:rsid w:val="E7EB22EC"/>
    <w:rsid w:val="ECF297FF"/>
    <w:rsid w:val="EE7FB291"/>
    <w:rsid w:val="EFDFA1DD"/>
    <w:rsid w:val="EFFFC0F8"/>
    <w:rsid w:val="F7CA3E73"/>
    <w:rsid w:val="FBBF2766"/>
    <w:rsid w:val="FCBDE9E0"/>
    <w:rsid w:val="FCEE139C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ScaleCrop>false</ScaleCrop>
  <LinksUpToDate>false</LinksUpToDate>
  <CharactersWithSpaces>287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2021-01-23T08:38:00Z</dcterms:created>
  <dc:creator>Qi Hang</dc:creator>
  <cp:lastModifiedBy>JoyKONG</cp:lastModifiedBy>
  <dcterms:modified xsi:type="dcterms:W3CDTF">2021-12-22T23:24:04Z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