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杨超</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资格证号：</w:t>
      </w:r>
      <w:r>
        <w:rPr>
          <w:rFonts w:hint="eastAsia" w:ascii="宋体" w:hAnsi="宋体" w:eastAsia="宋体"/>
          <w:sz w:val="32"/>
          <w:szCs w:val="32"/>
          <w:u w:val="single"/>
        </w:rPr>
        <w:t>71040942</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网络经济学</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拟定学位论文题目：移动社交网络对可转债投资的影响</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2021/12/30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我国的可转债是一种较为理想的投资品种，可以转股的特性使其具有股票的特征，到期还本付息的条款保障其具有一定的利率收益，而具有中国特色的下修条款，可以限制一定的下跌空间。而参与申购新发行的可转债更是近乎于打新股的低风险高收益投资手段，能给中国A股投资人带来较为可观的收益。</w:t>
            </w:r>
          </w:p>
          <w:p>
            <w:pPr>
              <w:ind w:firstLine="480"/>
              <w:rPr>
                <w:rFonts w:ascii="宋体" w:hAnsi="宋体" w:eastAsia="宋体"/>
                <w:sz w:val="24"/>
                <w:szCs w:val="24"/>
              </w:rPr>
            </w:pPr>
            <w:r>
              <w:rPr>
                <w:rFonts w:hint="eastAsia" w:ascii="宋体" w:hAnsi="宋体" w:eastAsia="宋体"/>
                <w:sz w:val="24"/>
                <w:szCs w:val="24"/>
              </w:rPr>
              <w:t>在2017年以前，可转债是一种成交量较低的冷门投资品，随着智能手机的发展，移动社交网络的崛起，让越来越多的投资人认识到可转债的优势。2019年底新型冠状病毒肺炎的全球爆发，医疗口罩、医疗手套供应商英科医疗所发行的英科转债获得了极高的关注，其票面价格在2021年一度高达3618.188元/张，作为债券却拥有超越股票收益的潜力，使投资人对于可转债有了全新的认识。</w:t>
            </w:r>
          </w:p>
          <w:p>
            <w:pPr>
              <w:ind w:firstLine="480"/>
              <w:rPr>
                <w:rFonts w:ascii="宋体" w:hAnsi="宋体" w:eastAsia="宋体"/>
                <w:sz w:val="24"/>
                <w:szCs w:val="24"/>
              </w:rPr>
            </w:pPr>
            <w:r>
              <w:rPr>
                <w:rFonts w:hint="eastAsia" w:ascii="宋体" w:hAnsi="宋体" w:eastAsia="宋体"/>
                <w:sz w:val="24"/>
                <w:szCs w:val="24"/>
              </w:rPr>
              <w:t>可转债关注度的增加，与移动社交网络的兴起有密不可分的关系，而社交网络在多大程度上影响了可转债的投资收益，对于投资人来说，关注度的上升是使投资人获得了更高的收益，还是因为投资人数的上升而降低了投资收益？我国投资人又如何通过移动社交网络获得更好的投资收益，都具有值得研究的价值。</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9" w:hRule="atLeast"/>
        </w:trPr>
        <w:tc>
          <w:tcPr>
            <w:tcW w:w="9344" w:type="dxa"/>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相对于股票的研究，现有对于可转债的研究数量相对较少。而针对移动社交网络的研究，近年来开始在逐步增加。</w:t>
            </w:r>
          </w:p>
          <w:p>
            <w:pPr>
              <w:ind w:firstLine="480"/>
              <w:rPr>
                <w:rFonts w:ascii="宋体" w:hAnsi="宋体" w:eastAsia="宋体"/>
                <w:sz w:val="24"/>
                <w:szCs w:val="24"/>
              </w:rPr>
            </w:pPr>
            <w:r>
              <w:rPr>
                <w:rFonts w:hint="eastAsia" w:ascii="宋体" w:hAnsi="宋体" w:eastAsia="宋体"/>
                <w:sz w:val="24"/>
                <w:szCs w:val="24"/>
              </w:rPr>
              <w:t>可转债相关研究：</w:t>
            </w:r>
          </w:p>
          <w:p>
            <w:pPr>
              <w:rPr>
                <w:rFonts w:ascii="宋体" w:hAnsi="宋体" w:eastAsia="宋体"/>
                <w:sz w:val="24"/>
                <w:szCs w:val="24"/>
              </w:rPr>
            </w:pPr>
            <w:r>
              <w:rPr>
                <w:rFonts w:hint="eastAsia" w:ascii="宋体" w:hAnsi="宋体" w:eastAsia="宋体"/>
                <w:sz w:val="24"/>
                <w:szCs w:val="24"/>
              </w:rPr>
              <w:t xml:space="preserve">    安道全（2012）提出，可转债可能是证券市场上唯一投资者和上市公司利益高度一致的产品，且可转债在股市腰斩时期也能收回本金，向上却近乎上不封顶，若自1998年开始，以面值买入每一只可转债，到期以收盘价卖出，这种最简单的投资策略收益率可以高达12年43倍。</w:t>
            </w:r>
          </w:p>
          <w:p>
            <w:pPr>
              <w:ind w:firstLine="480" w:firstLineChars="200"/>
              <w:rPr>
                <w:rFonts w:ascii="宋体" w:hAnsi="宋体" w:eastAsia="宋体"/>
                <w:sz w:val="24"/>
                <w:szCs w:val="24"/>
              </w:rPr>
            </w:pPr>
            <w:r>
              <w:rPr>
                <w:rFonts w:hint="eastAsia" w:ascii="宋体" w:hAnsi="宋体" w:eastAsia="宋体"/>
                <w:sz w:val="24"/>
                <w:szCs w:val="24"/>
              </w:rPr>
              <w:t>徐大为（2014）提出，可转债具备债权和期权的双重属性，有以收益率为核心、以下调转股价和波动性为核心、以增加安全性为目的三种投资策略。2004年到2014年，中证转债指数上涨142%，沪深300指数上涨130.3%，上证指数上涨42%。在牛市期间，可转债指数涨幅大幅低于沪深300指数与上证指数涨幅，相反，可转债指数在熊市期间大幅优于沪深300指数与上证指数。</w:t>
            </w:r>
          </w:p>
          <w:p>
            <w:pPr>
              <w:ind w:firstLine="480" w:firstLineChars="200"/>
              <w:rPr>
                <w:rFonts w:ascii="宋体" w:hAnsi="宋体" w:eastAsia="宋体"/>
                <w:sz w:val="24"/>
                <w:szCs w:val="24"/>
              </w:rPr>
            </w:pPr>
            <w:r>
              <w:rPr>
                <w:rFonts w:hint="eastAsia" w:ascii="宋体" w:hAnsi="宋体" w:eastAsia="宋体"/>
                <w:sz w:val="24"/>
                <w:szCs w:val="24"/>
              </w:rPr>
              <w:t>孙秋玲、梁永福和邓荃文（2017）提出，资本偏离程度较高、负债比例高，企业前景不清晰等的公司，更有可能积极下修转股价，促进投资者将可转债转股，从而增强企业现金流，降低负债水平。</w:t>
            </w:r>
          </w:p>
          <w:p>
            <w:pPr>
              <w:ind w:firstLine="480" w:firstLineChars="200"/>
              <w:rPr>
                <w:rFonts w:ascii="宋体" w:hAnsi="宋体" w:eastAsia="宋体"/>
                <w:sz w:val="24"/>
                <w:szCs w:val="24"/>
              </w:rPr>
            </w:pPr>
            <w:r>
              <w:rPr>
                <w:rFonts w:hint="eastAsia" w:ascii="宋体" w:hAnsi="宋体" w:eastAsia="宋体"/>
                <w:sz w:val="24"/>
                <w:szCs w:val="24"/>
              </w:rPr>
              <w:t>周科竞（2018）提出，2018年上证指数跌破2800点，持股风险较大，投资者可以选择可转债，既可当股票投资，也可以当债券避险。</w:t>
            </w:r>
          </w:p>
          <w:p>
            <w:pPr>
              <w:ind w:firstLine="480" w:firstLineChars="200"/>
              <w:rPr>
                <w:rFonts w:ascii="宋体" w:hAnsi="宋体" w:eastAsia="宋体"/>
                <w:sz w:val="24"/>
                <w:szCs w:val="24"/>
              </w:rPr>
            </w:pPr>
            <w:r>
              <w:rPr>
                <w:rFonts w:hint="eastAsia" w:ascii="宋体" w:hAnsi="宋体" w:eastAsia="宋体"/>
                <w:sz w:val="24"/>
                <w:szCs w:val="24"/>
              </w:rPr>
              <w:t>张赞鑫（2020）提到，在2017年，最新颁布的《证券发行与承销管理办法》规定，可转债申购不再需要预缴资金，改用信用申购，可转债因此迎来了发行热潮，发行数量达到了该办法颁布前的若干倍，因此可转债开始受到更多普通投资者的关注。</w:t>
            </w:r>
          </w:p>
          <w:p>
            <w:pPr>
              <w:ind w:firstLine="480" w:firstLineChars="200"/>
              <w:rPr>
                <w:rFonts w:ascii="宋体" w:hAnsi="宋体" w:eastAsia="宋体"/>
                <w:sz w:val="24"/>
                <w:szCs w:val="24"/>
              </w:rPr>
            </w:pPr>
            <w:r>
              <w:rPr>
                <w:rFonts w:hint="eastAsia" w:ascii="宋体" w:hAnsi="宋体" w:eastAsia="宋体"/>
                <w:sz w:val="24"/>
                <w:szCs w:val="24"/>
              </w:rPr>
              <w:t>饕餮海、定风波、优美（2020）提出，网上申购可转债是最简单、风险最低的一个策略，具有风险低、中签高，投入低，收益高的特征。2019年共发行可转债127只，参与申购新发行的可转债，平均单账户中57.72签，收益5891.73元。虽然可能出现破发，但所有破发可转债最高价均涨回面值以上。</w:t>
            </w:r>
          </w:p>
          <w:p>
            <w:pPr>
              <w:ind w:firstLine="480" w:firstLineChars="200"/>
              <w:rPr>
                <w:rFonts w:ascii="宋体" w:hAnsi="宋体" w:eastAsia="宋体"/>
                <w:sz w:val="24"/>
                <w:szCs w:val="24"/>
              </w:rPr>
            </w:pPr>
            <w:r>
              <w:rPr>
                <w:rFonts w:hint="eastAsia" w:ascii="宋体" w:hAnsi="宋体" w:eastAsia="宋体"/>
                <w:sz w:val="24"/>
                <w:szCs w:val="24"/>
              </w:rPr>
              <w:t>阿秋（2020）提出，参与新股申购的大约有1200万户，而参与新发行可转债申购的平均人数大约在30万人，鼎盛时期也仅有300万人。</w:t>
            </w:r>
          </w:p>
          <w:p>
            <w:pPr>
              <w:ind w:firstLine="480" w:firstLineChars="200"/>
              <w:rPr>
                <w:rFonts w:ascii="宋体" w:hAnsi="宋体" w:eastAsia="宋体"/>
                <w:sz w:val="24"/>
                <w:szCs w:val="24"/>
              </w:rPr>
            </w:pPr>
            <w:r>
              <w:rPr>
                <w:rFonts w:hint="eastAsia" w:ascii="宋体" w:hAnsi="宋体" w:eastAsia="宋体"/>
                <w:sz w:val="24"/>
                <w:szCs w:val="24"/>
              </w:rPr>
              <w:t>根据2021年12月27日，兴业银行股份有限公司公开发行可转换公司债券网上中签率及网下配售结果公告，参与兴业转债网上申购的有效申购户数为 10913075 户，而根据同为上海证券交易所同期发行的汇通建设集团股份有限公司于2021年12月23日发布的公告，其有效申购账户为为15650475户，可见，曾经冷门的可转债打新已经逐渐被投资者熟悉。</w:t>
            </w:r>
          </w:p>
          <w:p>
            <w:pPr>
              <w:ind w:firstLine="480" w:firstLineChars="200"/>
              <w:rPr>
                <w:rFonts w:ascii="宋体" w:hAnsi="宋体" w:eastAsia="宋体"/>
                <w:sz w:val="24"/>
                <w:szCs w:val="24"/>
              </w:rPr>
            </w:pPr>
            <w:r>
              <w:rPr>
                <w:rFonts w:hint="eastAsia" w:ascii="宋体" w:hAnsi="宋体" w:eastAsia="宋体"/>
                <w:sz w:val="24"/>
                <w:szCs w:val="24"/>
              </w:rPr>
              <w:t xml:space="preserve">Wenistein (1931)是国际上认可的最早的深入研究可转债的套利问题的专家,然而他的研究却相比后人缺少模型和推论。 </w:t>
            </w:r>
          </w:p>
          <w:p>
            <w:pPr>
              <w:ind w:firstLine="480" w:firstLineChars="200"/>
              <w:rPr>
                <w:rFonts w:ascii="宋体" w:hAnsi="宋体" w:eastAsia="宋体"/>
                <w:sz w:val="24"/>
                <w:szCs w:val="24"/>
              </w:rPr>
            </w:pPr>
            <w:r>
              <w:rPr>
                <w:rFonts w:hint="eastAsia" w:ascii="宋体" w:hAnsi="宋体" w:eastAsia="宋体"/>
                <w:sz w:val="24"/>
                <w:szCs w:val="24"/>
              </w:rPr>
              <w:t>Agarwal</w:t>
            </w:r>
            <w:r>
              <w:rPr>
                <w:rFonts w:ascii="宋体" w:hAnsi="宋体" w:eastAsia="宋体"/>
                <w:sz w:val="24"/>
                <w:szCs w:val="24"/>
              </w:rPr>
              <w:t>＆</w:t>
            </w:r>
            <w:r>
              <w:rPr>
                <w:rFonts w:hint="eastAsia" w:ascii="宋体" w:hAnsi="宋体" w:eastAsia="宋体"/>
                <w:sz w:val="24"/>
                <w:szCs w:val="24"/>
              </w:rPr>
              <w:t>Naik(2004)提出，在市场行情不好的时候，采用可转债对冲策略，可以取得超额收益，这说明可转债在市场较差的时候呈现防御性，即可以当做看跌期权运行。</w:t>
            </w:r>
          </w:p>
          <w:p>
            <w:pPr>
              <w:ind w:firstLine="480" w:firstLineChars="200"/>
              <w:rPr>
                <w:rFonts w:ascii="宋体" w:hAnsi="宋体" w:eastAsia="宋体"/>
                <w:sz w:val="24"/>
                <w:szCs w:val="24"/>
              </w:rPr>
            </w:pPr>
            <w:r>
              <w:rPr>
                <w:rFonts w:ascii="宋体" w:hAnsi="宋体" w:eastAsia="宋体"/>
                <w:sz w:val="24"/>
                <w:szCs w:val="24"/>
              </w:rPr>
              <w:t>Abe de Jong</w:t>
            </w:r>
            <w:r>
              <w:rPr>
                <w:rFonts w:hint="eastAsia" w:ascii="宋体" w:hAnsi="宋体" w:eastAsia="宋体"/>
                <w:sz w:val="24"/>
                <w:szCs w:val="24"/>
              </w:rPr>
              <w:t>、</w:t>
            </w:r>
            <w:r>
              <w:rPr>
                <w:rFonts w:ascii="宋体" w:hAnsi="宋体" w:eastAsia="宋体"/>
                <w:sz w:val="24"/>
                <w:szCs w:val="24"/>
              </w:rPr>
              <w:t>Eric Duca 与 Marie Dutordoir(2012)</w:t>
            </w:r>
            <w:r>
              <w:rPr>
                <w:rFonts w:hint="eastAsia" w:ascii="宋体" w:hAnsi="宋体" w:eastAsia="宋体"/>
                <w:sz w:val="24"/>
                <w:szCs w:val="24"/>
              </w:rPr>
              <w:t>以一千五百多</w:t>
            </w:r>
            <w:r>
              <w:rPr>
                <w:rFonts w:ascii="宋体" w:hAnsi="宋体" w:eastAsia="宋体"/>
                <w:sz w:val="24"/>
                <w:szCs w:val="24"/>
              </w:rPr>
              <w:t>支可转</w:t>
            </w:r>
            <w:r>
              <w:rPr>
                <w:rFonts w:hint="eastAsia" w:ascii="宋体" w:hAnsi="宋体" w:eastAsia="宋体"/>
                <w:sz w:val="24"/>
                <w:szCs w:val="24"/>
              </w:rPr>
              <w:t>债为研究对象，探索投资者心理需求与可转债发行价的关系。研究结果表明，投资者的对可转债的热情程度越高，可转债在发行时就可以取得更高的定价。</w:t>
            </w:r>
          </w:p>
          <w:p>
            <w:pPr>
              <w:ind w:firstLine="480" w:firstLineChars="200"/>
              <w:rPr>
                <w:rFonts w:ascii="宋体" w:hAnsi="宋体" w:eastAsia="宋体"/>
                <w:sz w:val="24"/>
                <w:szCs w:val="24"/>
              </w:rPr>
            </w:pPr>
            <w:r>
              <w:rPr>
                <w:rFonts w:hint="eastAsia" w:ascii="宋体" w:hAnsi="宋体" w:eastAsia="宋体"/>
                <w:sz w:val="24"/>
                <w:szCs w:val="24"/>
              </w:rPr>
              <w:t>移动社交网络相关研究：</w:t>
            </w:r>
          </w:p>
          <w:p>
            <w:pPr>
              <w:ind w:firstLine="480" w:firstLineChars="200"/>
              <w:rPr>
                <w:rFonts w:ascii="宋体" w:hAnsi="宋体" w:eastAsia="宋体"/>
                <w:sz w:val="24"/>
                <w:szCs w:val="24"/>
              </w:rPr>
            </w:pPr>
            <w:r>
              <w:rPr>
                <w:rFonts w:hint="eastAsia" w:ascii="宋体" w:hAnsi="宋体" w:eastAsia="宋体"/>
                <w:sz w:val="24"/>
                <w:szCs w:val="24"/>
              </w:rPr>
              <w:t>何璐（2011）提出，通过发展技术，完善现有社交网络服务的功能，并通过开发丰富的app程序，增加人们与各种音频、视频、购物等之间的联系和合作，确保用户的需求能通过程序得到满足。</w:t>
            </w:r>
          </w:p>
          <w:p>
            <w:pPr>
              <w:ind w:firstLine="480" w:firstLineChars="200"/>
              <w:rPr>
                <w:rFonts w:ascii="宋体" w:hAnsi="宋体" w:eastAsia="宋体"/>
                <w:sz w:val="24"/>
                <w:szCs w:val="24"/>
              </w:rPr>
            </w:pPr>
            <w:r>
              <w:rPr>
                <w:rFonts w:hint="eastAsia" w:ascii="宋体" w:hAnsi="宋体" w:eastAsia="宋体"/>
                <w:sz w:val="24"/>
                <w:szCs w:val="24"/>
              </w:rPr>
              <w:t>夏虎（2012）认为通过移动网络开发社交类应用，进一步分析移动社交网络特点与其行为特征，从而预测网络应用中用户之间的关系属性，结合信息处理技术,可以建立可靠的垃圾信息过滤机制。</w:t>
            </w:r>
          </w:p>
          <w:p>
            <w:pPr>
              <w:ind w:firstLine="480" w:firstLineChars="200"/>
              <w:rPr>
                <w:rFonts w:ascii="宋体" w:hAnsi="宋体" w:eastAsia="宋体"/>
                <w:sz w:val="24"/>
                <w:szCs w:val="24"/>
              </w:rPr>
            </w:pPr>
            <w:r>
              <w:rPr>
                <w:rFonts w:hint="eastAsia" w:ascii="宋体" w:hAnsi="宋体" w:eastAsia="宋体"/>
                <w:sz w:val="24"/>
                <w:szCs w:val="24"/>
              </w:rPr>
              <w:t>陈立强在（</w:t>
            </w:r>
            <w:r>
              <w:rPr>
                <w:rFonts w:ascii="宋体" w:hAnsi="宋体" w:eastAsia="宋体"/>
                <w:sz w:val="24"/>
                <w:szCs w:val="24"/>
              </w:rPr>
              <w:t>2015</w:t>
            </w:r>
            <w:r>
              <w:rPr>
                <w:rFonts w:hint="eastAsia" w:ascii="宋体" w:hAnsi="宋体" w:eastAsia="宋体"/>
                <w:sz w:val="24"/>
                <w:szCs w:val="24"/>
              </w:rPr>
              <w:t xml:space="preserve">）从用户、短视频发布者、广告商三个角度，对短视频的即时传播做了系统的研究。提出短视频的崛起和发展离不开大众文化的传播，一个能够吸引用户的短视频，需要具有较高的价值，可以是文化价值，也可以是社会价值。这是短视频传播的意义所在。作者认为，短视频在未来将会与可穿戴设备相结合。 </w:t>
            </w:r>
          </w:p>
          <w:p>
            <w:pPr>
              <w:ind w:firstLine="480" w:firstLineChars="200"/>
              <w:rPr>
                <w:rFonts w:ascii="宋体" w:hAnsi="宋体" w:eastAsia="宋体"/>
                <w:sz w:val="24"/>
                <w:szCs w:val="24"/>
              </w:rPr>
            </w:pPr>
            <w:r>
              <w:rPr>
                <w:rFonts w:hint="eastAsia" w:ascii="宋体" w:hAnsi="宋体" w:eastAsia="宋体"/>
                <w:sz w:val="24"/>
                <w:szCs w:val="24"/>
              </w:rPr>
              <w:t>米厚民（2016）探讨了微信通过视频化、发布活动等方式来增加粉丝的思路，他建议微信应通过图片、视频、文字等多种方式制作高质量的内容，让微信有更多的表达方式。</w:t>
            </w:r>
          </w:p>
          <w:p>
            <w:pPr>
              <w:ind w:firstLine="480" w:firstLineChars="200"/>
              <w:rPr>
                <w:rFonts w:ascii="宋体" w:hAnsi="宋体" w:eastAsia="宋体"/>
                <w:sz w:val="24"/>
                <w:szCs w:val="24"/>
              </w:rPr>
            </w:pPr>
            <w:r>
              <w:rPr>
                <w:rFonts w:hint="eastAsia" w:ascii="宋体" w:hAnsi="宋体" w:eastAsia="宋体"/>
                <w:sz w:val="24"/>
                <w:szCs w:val="24"/>
              </w:rPr>
              <w:t>微信联合中国信通院（2020）于2020年5月14日发布《2019-2020 微信就业影响力报告》，报告显示，微信支持 20 种以上的语言，应用范围覆盖了200多个国家和地域。至2020年3月，微信及其国际版WeChat月活跃帐户数共计高达12亿人以上。但由于微信的主要使用人群为中国人，国外学者对微信的研究甚少，缺少相关研究成果，对于微信的副产品公众号的研究接近没有。</w:t>
            </w:r>
          </w:p>
          <w:p>
            <w:pPr>
              <w:ind w:firstLine="480" w:firstLineChars="200"/>
              <w:rPr>
                <w:rFonts w:ascii="宋体" w:hAnsi="宋体" w:eastAsia="宋体"/>
                <w:sz w:val="24"/>
                <w:szCs w:val="24"/>
              </w:rPr>
            </w:pPr>
            <w:r>
              <w:rPr>
                <w:rFonts w:hint="eastAsia" w:ascii="宋体" w:hAnsi="宋体" w:eastAsia="宋体"/>
                <w:sz w:val="24"/>
                <w:szCs w:val="24"/>
              </w:rPr>
              <w:t>Jialu Fan（2013）等人认为，移动社交网络是其用户与其他成员之间为了获得更多服务而进行的成员之间的互动。</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论证方法：计量分析法。</w:t>
            </w:r>
          </w:p>
          <w:p>
            <w:pPr>
              <w:ind w:firstLine="480"/>
              <w:rPr>
                <w:rFonts w:ascii="宋体" w:hAnsi="宋体" w:eastAsia="宋体"/>
                <w:sz w:val="24"/>
                <w:szCs w:val="24"/>
              </w:rPr>
            </w:pPr>
            <w:r>
              <w:rPr>
                <w:rFonts w:hint="eastAsia" w:ascii="宋体" w:hAnsi="宋体" w:eastAsia="宋体"/>
                <w:sz w:val="24"/>
                <w:szCs w:val="24"/>
              </w:rPr>
              <w:t>数据来源：深圳证券交易所、上海证券交易所、</w:t>
            </w:r>
            <w:r>
              <w:rPr>
                <w:rStyle w:val="13"/>
                <w:rFonts w:eastAsia="宋体"/>
              </w:rPr>
              <w:t>Wind</w:t>
            </w:r>
            <w:r>
              <w:rPr>
                <w:rFonts w:ascii="宋体" w:hAnsi="宋体" w:eastAsia="宋体" w:cs="宋体"/>
                <w:sz w:val="24"/>
                <w:szCs w:val="24"/>
              </w:rPr>
              <w:t xml:space="preserve"> </w:t>
            </w:r>
            <w:r>
              <w:rPr>
                <w:rFonts w:hint="eastAsia" w:ascii="宋体" w:hAnsi="宋体" w:eastAsia="宋体" w:cs="宋体"/>
                <w:sz w:val="24"/>
                <w:szCs w:val="24"/>
              </w:rPr>
              <w:t>万德数据库、</w:t>
            </w:r>
            <w:r>
              <w:rPr>
                <w:rFonts w:hint="eastAsia" w:ascii="宋体" w:hAnsi="宋体" w:eastAsia="宋体"/>
                <w:sz w:val="24"/>
                <w:szCs w:val="24"/>
              </w:rPr>
              <w:t>集思录网、雪球网、中国互联网络信息中心、中华人民共和国工业和信息化部、国家统计局。</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rPr>
                <w:rFonts w:ascii="宋体" w:hAnsi="宋体" w:eastAsia="宋体"/>
                <w:sz w:val="24"/>
                <w:szCs w:val="24"/>
              </w:rPr>
            </w:pP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hint="eastAsia" w:ascii="宋体" w:hAnsi="宋体" w:eastAsia="宋体"/>
                <w:sz w:val="24"/>
                <w:szCs w:val="24"/>
              </w:rPr>
              <w:t>移动社交网络的发展，不仅增加了投资者对可转债的关注度，也使更多上市公司通过发行转债募资，丰富多样的移动社交网络，增加了可转债相关知识的传播途径，在可转债投资者人数增加的同时，也使总体收益率上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ascii="宋体" w:hAnsi="宋体" w:eastAsia="宋体"/>
                <w:sz w:val="24"/>
                <w:szCs w:val="24"/>
              </w:rPr>
            </w:pPr>
          </w:p>
          <w:p>
            <w:pPr>
              <w:rPr>
                <w:rFonts w:ascii="宋体" w:hAnsi="宋体" w:eastAsia="宋体"/>
                <w:color w:val="FF0000"/>
                <w:sz w:val="24"/>
                <w:szCs w:val="24"/>
              </w:rPr>
            </w:pPr>
            <w:r>
              <w:rPr>
                <w:rFonts w:hint="eastAsia" w:ascii="宋体" w:hAnsi="宋体" w:eastAsia="宋体"/>
                <w:color w:val="FF0000"/>
                <w:sz w:val="24"/>
                <w:szCs w:val="24"/>
              </w:rPr>
              <w:t xml:space="preserve">   </w:t>
            </w:r>
            <w:r>
              <w:rPr>
                <w:rFonts w:hint="eastAsia" w:ascii="宋体" w:hAnsi="宋体" w:eastAsia="宋体"/>
                <w:sz w:val="24"/>
                <w:szCs w:val="24"/>
              </w:rPr>
              <w:t xml:space="preserve"> 近几年来，随着智能手机的普及，与移动社交网络的相关研究在逐年增加。同样，由于可转债关注度的提高的同时，针对可转债的研究也在渐渐上涨，但目前仍少有研究移动社交网络与可转债投资之间的相互影响关系，属于一个较为创新的研究方向。</w:t>
            </w:r>
          </w:p>
          <w:p>
            <w:pPr>
              <w:rPr>
                <w:rFonts w:ascii="宋体" w:hAnsi="宋体" w:eastAsia="宋体"/>
                <w:sz w:val="24"/>
                <w:szCs w:val="24"/>
              </w:rPr>
            </w:pP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607" w:hRule="atLeast"/>
        </w:trPr>
        <w:tc>
          <w:tcPr>
            <w:tcW w:w="9344" w:type="dxa"/>
          </w:tcPr>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参考文献</w:t>
            </w:r>
          </w:p>
          <w:p>
            <w:pPr>
              <w:rPr>
                <w:rFonts w:ascii="宋体" w:hAnsi="宋体" w:eastAsia="宋体"/>
                <w:sz w:val="24"/>
                <w:szCs w:val="24"/>
              </w:rPr>
            </w:pPr>
          </w:p>
          <w:p/>
          <w:p>
            <w:pPr>
              <w:spacing w:line="0" w:lineRule="atLeast"/>
              <w:rPr>
                <w:color w:val="FF0000"/>
                <w:sz w:val="18"/>
                <w:szCs w:val="20"/>
              </w:rPr>
            </w:pPr>
            <w:r>
              <w:rPr>
                <w:rFonts w:hint="eastAsia"/>
                <w:color w:val="FF0000"/>
                <w:sz w:val="18"/>
                <w:szCs w:val="20"/>
              </w:rPr>
              <w:t>1. 书</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sz w:val="18"/>
                <w:szCs w:val="20"/>
              </w:rPr>
            </w:pPr>
            <w:r>
              <w:rPr>
                <w:rFonts w:hint="eastAsia"/>
                <w:sz w:val="18"/>
                <w:szCs w:val="20"/>
              </w:rPr>
              <w:t>安道全，《可转债投资魔法书》，第2版，北京，电子工业出版社，2012。</w:t>
            </w:r>
          </w:p>
          <w:p>
            <w:pPr>
              <w:spacing w:line="0" w:lineRule="atLeast"/>
              <w:ind w:left="180" w:hanging="180" w:hangingChars="100"/>
              <w:rPr>
                <w:sz w:val="18"/>
                <w:szCs w:val="20"/>
              </w:rPr>
            </w:pPr>
            <w:r>
              <w:rPr>
                <w:rFonts w:hint="eastAsia"/>
                <w:sz w:val="18"/>
                <w:szCs w:val="20"/>
              </w:rPr>
              <w:t>徐大为，《低风险投资之路》，北京，中国经济出版社，2014。</w:t>
            </w:r>
          </w:p>
          <w:p>
            <w:pPr>
              <w:spacing w:line="0" w:lineRule="atLeast"/>
              <w:ind w:left="180" w:hanging="180" w:hangingChars="100"/>
              <w:rPr>
                <w:sz w:val="18"/>
                <w:szCs w:val="20"/>
              </w:rPr>
            </w:pPr>
            <w:r>
              <w:rPr>
                <w:rFonts w:hint="eastAsia"/>
                <w:sz w:val="18"/>
                <w:szCs w:val="20"/>
              </w:rPr>
              <w:t>饕餮海/定风波/优美，《可转债投资适用手册》，北京，中国经济出版社，2020。</w:t>
            </w:r>
          </w:p>
          <w:p>
            <w:pPr>
              <w:spacing w:line="0" w:lineRule="atLeast"/>
              <w:ind w:left="180" w:hanging="180" w:hangingChars="100"/>
              <w:rPr>
                <w:sz w:val="18"/>
                <w:szCs w:val="20"/>
              </w:rPr>
            </w:pPr>
            <w:r>
              <w:rPr>
                <w:rFonts w:hint="eastAsia"/>
                <w:sz w:val="18"/>
                <w:szCs w:val="20"/>
              </w:rPr>
              <w:t>阿秋，《可转债投资黄金宝典》，北京，中国宇航出版社，2020。</w:t>
            </w:r>
          </w:p>
          <w:p>
            <w:pPr>
              <w:spacing w:line="0" w:lineRule="atLeast"/>
              <w:ind w:left="180" w:hanging="180" w:hangingChars="100"/>
              <w:rPr>
                <w:sz w:val="18"/>
                <w:szCs w:val="20"/>
              </w:rPr>
            </w:pPr>
            <w:r>
              <w:rPr>
                <w:rFonts w:hint="eastAsia"/>
                <w:sz w:val="18"/>
                <w:szCs w:val="20"/>
              </w:rPr>
              <w:t>张赞鑫，《一本书读懂可转债》，北京，中国宇航出版社，2020。</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中文期刊：</w:t>
            </w:r>
          </w:p>
          <w:p>
            <w:pPr>
              <w:spacing w:line="0" w:lineRule="atLeast"/>
              <w:rPr>
                <w:sz w:val="18"/>
                <w:szCs w:val="20"/>
              </w:rPr>
            </w:pPr>
            <w:r>
              <w:rPr>
                <w:rFonts w:hint="eastAsia"/>
                <w:sz w:val="18"/>
                <w:szCs w:val="20"/>
              </w:rPr>
              <w:t>米厚民“暖新闻 正能量 小人物 接地气“《新闻采编》，2016年04月，20-21页</w:t>
            </w:r>
          </w:p>
          <w:p>
            <w:pPr>
              <w:spacing w:line="0" w:lineRule="atLeast"/>
              <w:rPr>
                <w:sz w:val="18"/>
                <w:szCs w:val="20"/>
              </w:rPr>
            </w:pPr>
            <w:r>
              <w:rPr>
                <w:rFonts w:hint="eastAsia"/>
                <w:sz w:val="18"/>
                <w:szCs w:val="20"/>
              </w:rPr>
              <w:t>孙秋玲/梁永福/邓荃文，“向下修正条款与可转债价值—基于概率预测模型的实证研究“，《金融论苑》，            2017年12月，186-192页．</w:t>
            </w:r>
          </w:p>
          <w:p>
            <w:pPr>
              <w:spacing w:line="0" w:lineRule="atLeast"/>
              <w:ind w:left="180" w:hanging="180" w:hangingChars="100"/>
              <w:rPr>
                <w:sz w:val="18"/>
                <w:szCs w:val="20"/>
              </w:rPr>
            </w:pPr>
            <w:r>
              <w:rPr>
                <w:rFonts w:hint="eastAsia"/>
                <w:sz w:val="18"/>
                <w:szCs w:val="20"/>
              </w:rPr>
              <w:t>周科竞，“适当关注可转债投资机会“，《北京商报》，2018年六月，第6页</w:t>
            </w:r>
          </w:p>
          <w:p>
            <w:pPr>
              <w:spacing w:line="0" w:lineRule="atLeast"/>
              <w:ind w:left="180" w:hanging="180" w:hangingChars="100"/>
              <w:rPr>
                <w:sz w:val="18"/>
                <w:szCs w:val="20"/>
              </w:rPr>
            </w:pPr>
            <w:r>
              <w:rPr>
                <w:rFonts w:hint="eastAsia"/>
                <w:sz w:val="18"/>
                <w:szCs w:val="20"/>
              </w:rPr>
              <w:t>曹明珠/杨舒丹/林阳鹏/徐显林，“</w:t>
            </w:r>
            <w:r>
              <w:rPr>
                <w:sz w:val="18"/>
                <w:szCs w:val="20"/>
              </w:rPr>
              <w:t>可转债的投资价值及策略探讨</w:t>
            </w:r>
            <w:r>
              <w:rPr>
                <w:rFonts w:hint="eastAsia"/>
                <w:sz w:val="18"/>
                <w:szCs w:val="20"/>
              </w:rPr>
              <w:t>”，《营销界》，2021年六月，72-73页。</w:t>
            </w:r>
          </w:p>
          <w:p>
            <w:pPr>
              <w:spacing w:line="0" w:lineRule="atLeast"/>
              <w:ind w:left="180" w:hanging="180" w:hangingChars="100"/>
              <w:rPr>
                <w:sz w:val="18"/>
                <w:szCs w:val="20"/>
              </w:rPr>
            </w:pPr>
            <w:r>
              <w:rPr>
                <w:rFonts w:hint="eastAsia"/>
                <w:sz w:val="18"/>
                <w:szCs w:val="20"/>
              </w:rPr>
              <w:t>郭施亮，“如何利用打新躺赚，《理财》，2021年十月，24-25页。</w:t>
            </w:r>
          </w:p>
          <w:p>
            <w:pPr>
              <w:spacing w:line="0" w:lineRule="atLeast"/>
              <w:ind w:left="180" w:hanging="180" w:hangingChars="100"/>
              <w:rPr>
                <w:sz w:val="18"/>
                <w:szCs w:val="20"/>
              </w:rPr>
            </w:pPr>
          </w:p>
          <w:p>
            <w:pPr>
              <w:spacing w:line="0" w:lineRule="atLeast"/>
              <w:ind w:left="180" w:hanging="180" w:hangingChars="100"/>
              <w:rPr>
                <w:sz w:val="18"/>
                <w:szCs w:val="20"/>
              </w:rPr>
            </w:pPr>
          </w:p>
          <w:p>
            <w:pPr>
              <w:spacing w:line="0" w:lineRule="atLeast"/>
              <w:rPr>
                <w:rFonts w:ascii="宋体" w:hAnsi="宋体" w:eastAsia="宋体" w:cs="宋体"/>
                <w:sz w:val="24"/>
                <w:szCs w:val="24"/>
              </w:rPr>
            </w:pPr>
            <w:r>
              <w:rPr>
                <w:rFonts w:hint="eastAsia"/>
                <w:sz w:val="18"/>
                <w:szCs w:val="20"/>
              </w:rPr>
              <w:t xml:space="preserve"> </w:t>
            </w:r>
          </w:p>
          <w:p>
            <w:pPr>
              <w:spacing w:line="0" w:lineRule="atLeast"/>
              <w:rPr>
                <w:sz w:val="18"/>
                <w:szCs w:val="20"/>
              </w:rPr>
            </w:pPr>
          </w:p>
          <w:p>
            <w:pPr>
              <w:spacing w:line="0" w:lineRule="atLeast"/>
              <w:rPr>
                <w:rFonts w:ascii="仿宋" w:hAnsi="仿宋" w:eastAsia="仿宋"/>
                <w:sz w:val="18"/>
                <w:szCs w:val="20"/>
              </w:rPr>
            </w:pPr>
          </w:p>
          <w:p>
            <w:pPr>
              <w:spacing w:line="0" w:lineRule="atLeast"/>
              <w:rPr>
                <w:rFonts w:ascii="仿宋" w:hAnsi="仿宋" w:eastAsia="仿宋"/>
                <w:sz w:val="18"/>
                <w:szCs w:val="20"/>
              </w:rPr>
            </w:pPr>
            <w:r>
              <w:rPr>
                <w:rFonts w:hint="eastAsia" w:ascii="仿宋" w:hAnsi="仿宋" w:eastAsia="仿宋"/>
                <w:sz w:val="18"/>
                <w:szCs w:val="20"/>
              </w:rPr>
              <w:t>外文期刊：</w:t>
            </w:r>
          </w:p>
          <w:p>
            <w:pPr>
              <w:spacing w:line="0" w:lineRule="atLeast"/>
              <w:rPr>
                <w:sz w:val="18"/>
                <w:szCs w:val="20"/>
              </w:rPr>
            </w:pPr>
            <w:r>
              <w:rPr>
                <w:sz w:val="18"/>
                <w:szCs w:val="20"/>
              </w:rPr>
              <w:t xml:space="preserve">Weinstein. H. Arbitrage in Securities[J]. </w:t>
            </w:r>
            <w:r>
              <w:rPr>
                <w:i/>
                <w:iCs/>
                <w:sz w:val="18"/>
                <w:szCs w:val="20"/>
              </w:rPr>
              <w:t>New York: Harper brothers</w:t>
            </w:r>
            <w:r>
              <w:rPr>
                <w:sz w:val="18"/>
                <w:szCs w:val="20"/>
              </w:rPr>
              <w:t>,1931:101-123</w:t>
            </w:r>
          </w:p>
          <w:p>
            <w:pPr>
              <w:spacing w:line="0" w:lineRule="atLeast"/>
              <w:rPr>
                <w:sz w:val="18"/>
                <w:szCs w:val="20"/>
              </w:rPr>
            </w:pPr>
            <w:r>
              <w:rPr>
                <w:sz w:val="18"/>
                <w:szCs w:val="20"/>
              </w:rPr>
              <w:t xml:space="preserve">Smith M. L. Publishing qualitative research, </w:t>
            </w:r>
            <w:r>
              <w:rPr>
                <w:i/>
                <w:iCs/>
                <w:sz w:val="18"/>
                <w:szCs w:val="20"/>
              </w:rPr>
              <w:t>American Educational</w:t>
            </w:r>
            <w:r>
              <w:rPr>
                <w:rFonts w:hint="eastAsia"/>
                <w:i/>
                <w:iCs/>
                <w:sz w:val="18"/>
                <w:szCs w:val="20"/>
              </w:rPr>
              <w:t xml:space="preserve"> </w:t>
            </w:r>
            <w:r>
              <w:rPr>
                <w:i/>
                <w:iCs/>
                <w:sz w:val="18"/>
                <w:szCs w:val="20"/>
              </w:rPr>
              <w:t xml:space="preserve">Research </w:t>
            </w:r>
            <w:r>
              <w:rPr>
                <w:sz w:val="18"/>
                <w:szCs w:val="20"/>
              </w:rPr>
              <w:t>Journal 24(2),1987,173 -183.</w:t>
            </w:r>
          </w:p>
          <w:p>
            <w:pPr>
              <w:spacing w:line="0" w:lineRule="atLeast"/>
              <w:rPr>
                <w:sz w:val="18"/>
                <w:szCs w:val="20"/>
              </w:rPr>
            </w:pPr>
            <w:r>
              <w:rPr>
                <w:rFonts w:hint="eastAsia"/>
                <w:sz w:val="18"/>
                <w:szCs w:val="20"/>
              </w:rPr>
              <w:t>Agarwal V,Naki N Y.risk and portfolio decisions involving hedge funds[J].</w:t>
            </w:r>
            <w:r>
              <w:rPr>
                <w:rFonts w:hint="eastAsia"/>
                <w:i/>
                <w:iCs/>
                <w:sz w:val="18"/>
                <w:szCs w:val="20"/>
              </w:rPr>
              <w:t>Review of Financail Studies</w:t>
            </w:r>
            <w:r>
              <w:rPr>
                <w:rFonts w:hint="eastAsia"/>
                <w:sz w:val="18"/>
                <w:szCs w:val="20"/>
              </w:rPr>
              <w:t>,2004,17(1):63-98.</w:t>
            </w:r>
          </w:p>
          <w:p>
            <w:pPr>
              <w:spacing w:line="0" w:lineRule="atLeast"/>
              <w:rPr>
                <w:sz w:val="18"/>
                <w:szCs w:val="20"/>
              </w:rPr>
            </w:pPr>
            <w:r>
              <w:rPr>
                <w:sz w:val="18"/>
                <w:szCs w:val="20"/>
              </w:rPr>
              <w:t xml:space="preserve">Abe,B.,Marie,D.,Nathalie,G.,etal. Convertible Arbitrage Price Pressure and Shortsale Contents[J]. </w:t>
            </w:r>
            <w:r>
              <w:rPr>
                <w:i/>
                <w:iCs/>
                <w:sz w:val="18"/>
                <w:szCs w:val="20"/>
              </w:rPr>
              <w:t>Financial Analysts</w:t>
            </w:r>
            <w:r>
              <w:rPr>
                <w:sz w:val="18"/>
                <w:szCs w:val="20"/>
              </w:rPr>
              <w:t xml:space="preserve"> Journal, 2012, 68 (70):70-88.</w:t>
            </w:r>
          </w:p>
          <w:p>
            <w:pPr>
              <w:spacing w:line="0" w:lineRule="atLeast"/>
              <w:rPr>
                <w:sz w:val="18"/>
                <w:szCs w:val="20"/>
              </w:rPr>
            </w:pPr>
          </w:p>
          <w:p>
            <w:pPr>
              <w:spacing w:line="0" w:lineRule="atLeast"/>
              <w:rPr>
                <w:sz w:val="18"/>
                <w:szCs w:val="20"/>
              </w:rPr>
            </w:pPr>
          </w:p>
          <w:p>
            <w:pPr>
              <w:spacing w:line="0" w:lineRule="atLeast"/>
              <w:rPr>
                <w:color w:val="FF0000"/>
                <w:sz w:val="18"/>
                <w:szCs w:val="20"/>
              </w:rPr>
            </w:pPr>
            <w:r>
              <w:rPr>
                <w:rFonts w:hint="eastAsia"/>
                <w:sz w:val="18"/>
                <w:szCs w:val="20"/>
              </w:rPr>
              <w:t xml:space="preserve">3. </w:t>
            </w:r>
            <w:r>
              <w:rPr>
                <w:rFonts w:hint="eastAsia"/>
                <w:color w:val="FF0000"/>
                <w:sz w:val="18"/>
                <w:szCs w:val="20"/>
              </w:rPr>
              <w:t>非出版物</w:t>
            </w:r>
          </w:p>
          <w:p>
            <w:pPr>
              <w:spacing w:line="0" w:lineRule="atLeast"/>
              <w:rPr>
                <w:rFonts w:ascii="仿宋" w:hAnsi="仿宋" w:eastAsia="仿宋"/>
                <w:sz w:val="18"/>
                <w:szCs w:val="20"/>
              </w:rPr>
            </w:pPr>
            <w:r>
              <w:rPr>
                <w:rFonts w:hint="eastAsia" w:ascii="仿宋" w:hAnsi="仿宋" w:eastAsia="仿宋"/>
                <w:sz w:val="18"/>
                <w:szCs w:val="20"/>
              </w:rPr>
              <w:t>中文内容：</w:t>
            </w:r>
          </w:p>
          <w:p>
            <w:pPr>
              <w:spacing w:line="0" w:lineRule="atLeast"/>
              <w:ind w:left="180" w:hanging="180" w:hangingChars="100"/>
              <w:rPr>
                <w:sz w:val="18"/>
                <w:szCs w:val="20"/>
              </w:rPr>
            </w:pPr>
            <w:r>
              <w:rPr>
                <w:rFonts w:hint="eastAsia"/>
                <w:sz w:val="18"/>
                <w:szCs w:val="20"/>
              </w:rPr>
              <w:t>何璐，我国SNS社交网络的发展与人们交往方式的研究[D],陕西师范大学,2011</w:t>
            </w:r>
          </w:p>
          <w:p>
            <w:pPr>
              <w:spacing w:line="0" w:lineRule="atLeast"/>
              <w:ind w:left="180" w:hanging="180" w:hangingChars="100"/>
              <w:rPr>
                <w:sz w:val="18"/>
                <w:szCs w:val="20"/>
              </w:rPr>
            </w:pPr>
            <w:r>
              <w:rPr>
                <w:rFonts w:hint="eastAsia"/>
                <w:sz w:val="18"/>
                <w:szCs w:val="20"/>
              </w:rPr>
              <w:t>夏虎，移动社交：网络结构和行为研究及其应用[D],电子科技大学,2012</w:t>
            </w:r>
          </w:p>
          <w:p>
            <w:pPr>
              <w:spacing w:line="0" w:lineRule="atLeast"/>
              <w:ind w:left="180" w:hanging="180" w:hangingChars="100"/>
              <w:rPr>
                <w:sz w:val="18"/>
                <w:szCs w:val="20"/>
              </w:rPr>
            </w:pPr>
            <w:r>
              <w:rPr>
                <w:rFonts w:hint="eastAsia"/>
                <w:sz w:val="18"/>
                <w:szCs w:val="20"/>
              </w:rPr>
              <w:t>陈立强</w:t>
            </w:r>
            <w:r>
              <w:rPr>
                <w:sz w:val="18"/>
                <w:szCs w:val="20"/>
              </w:rPr>
              <w:t xml:space="preserve">. 2015. </w:t>
            </w:r>
            <w:r>
              <w:rPr>
                <w:rFonts w:hint="eastAsia"/>
                <w:sz w:val="18"/>
                <w:szCs w:val="20"/>
              </w:rPr>
              <w:t>移动社交媒体微视频的即时传播研究</w:t>
            </w:r>
            <w:r>
              <w:rPr>
                <w:sz w:val="18"/>
                <w:szCs w:val="20"/>
              </w:rPr>
              <w:t xml:space="preserve">[D]. </w:t>
            </w:r>
            <w:r>
              <w:rPr>
                <w:rFonts w:hint="eastAsia"/>
                <w:sz w:val="18"/>
                <w:szCs w:val="20"/>
              </w:rPr>
              <w:t>天津师范大学</w:t>
            </w:r>
            <w:r>
              <w:rPr>
                <w:sz w:val="18"/>
                <w:szCs w:val="20"/>
              </w:rPr>
              <w:t>,16-17</w:t>
            </w: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rPr>
                <w:sz w:val="18"/>
                <w:szCs w:val="20"/>
              </w:rPr>
            </w:pPr>
            <w:r>
              <w:rPr>
                <w:sz w:val="18"/>
                <w:szCs w:val="20"/>
              </w:rPr>
              <w:t>Warren E. Buffett</w:t>
            </w:r>
            <w:r>
              <w:rPr>
                <w:rFonts w:hint="eastAsia"/>
                <w:sz w:val="18"/>
                <w:szCs w:val="20"/>
              </w:rPr>
              <w:t>,</w:t>
            </w:r>
            <w:r>
              <w:rPr>
                <w:i/>
                <w:iCs/>
                <w:sz w:val="18"/>
                <w:szCs w:val="20"/>
              </w:rPr>
              <w:t>To the Shareholders of Berkshire Hathaway Inc</w:t>
            </w:r>
            <w:r>
              <w:rPr>
                <w:sz w:val="18"/>
                <w:szCs w:val="20"/>
              </w:rPr>
              <w:t xml:space="preserve"> . Unpublished</w:t>
            </w:r>
            <w:r>
              <w:rPr>
                <w:rFonts w:hint="eastAsia"/>
                <w:sz w:val="18"/>
                <w:szCs w:val="20"/>
              </w:rPr>
              <w:t>,USA,1990</w:t>
            </w:r>
          </w:p>
          <w:p>
            <w:pPr>
              <w:spacing w:line="0" w:lineRule="atLeast"/>
              <w:rPr>
                <w:sz w:val="18"/>
                <w:szCs w:val="20"/>
              </w:rPr>
            </w:pPr>
          </w:p>
          <w:p>
            <w:pPr>
              <w:spacing w:line="0" w:lineRule="atLeast"/>
              <w:rPr>
                <w:rFonts w:ascii="宋体" w:hAnsi="宋体" w:eastAsia="宋体"/>
                <w:sz w:val="24"/>
                <w:szCs w:val="24"/>
              </w:rPr>
            </w:pPr>
          </w:p>
          <w:p>
            <w:pPr>
              <w:spacing w:line="0" w:lineRule="atLeast"/>
              <w:rPr>
                <w:color w:val="FF0000"/>
                <w:sz w:val="18"/>
                <w:szCs w:val="20"/>
              </w:rPr>
            </w:pPr>
            <w:r>
              <w:rPr>
                <w:rFonts w:hint="eastAsia"/>
                <w:sz w:val="18"/>
                <w:szCs w:val="20"/>
              </w:rPr>
              <w:t xml:space="preserve">4. </w:t>
            </w:r>
            <w:r>
              <w:rPr>
                <w:rFonts w:hint="eastAsia"/>
                <w:color w:val="FF0000"/>
                <w:sz w:val="18"/>
                <w:szCs w:val="20"/>
              </w:rPr>
              <w:t>电子出版物或电子来源的资料</w:t>
            </w:r>
          </w:p>
          <w:p>
            <w:pPr>
              <w:spacing w:line="0" w:lineRule="atLeast"/>
              <w:rPr>
                <w:rFonts w:ascii="仿宋" w:hAnsi="仿宋" w:eastAsia="仿宋"/>
                <w:sz w:val="18"/>
                <w:szCs w:val="20"/>
              </w:rPr>
            </w:pPr>
            <w:r>
              <w:rPr>
                <w:rFonts w:hint="eastAsia" w:ascii="仿宋" w:hAnsi="仿宋" w:eastAsia="仿宋"/>
                <w:sz w:val="18"/>
                <w:szCs w:val="20"/>
              </w:rPr>
              <w:t>中文电子来源：</w:t>
            </w:r>
          </w:p>
          <w:p>
            <w:pPr>
              <w:spacing w:line="0" w:lineRule="atLeast"/>
              <w:ind w:left="180" w:hanging="180" w:hangingChars="100"/>
              <w:rPr>
                <w:sz w:val="18"/>
                <w:szCs w:val="20"/>
              </w:rPr>
            </w:pPr>
            <w:r>
              <w:rPr>
                <w:rFonts w:hint="eastAsia"/>
                <w:sz w:val="18"/>
                <w:szCs w:val="20"/>
              </w:rPr>
              <w:t>中国信息通信研究院政策与经济研究所,”2019-2020 微信就业影响力报告”，互联网，2020.5.14</w:t>
            </w:r>
          </w:p>
          <w:p>
            <w:pPr>
              <w:spacing w:line="0" w:lineRule="atLeast"/>
              <w:ind w:left="180" w:hanging="180" w:hangingChars="100"/>
              <w:rPr>
                <w:sz w:val="18"/>
                <w:szCs w:val="20"/>
              </w:rPr>
            </w:pPr>
            <w:r>
              <w:rPr>
                <w:rFonts w:hint="eastAsia"/>
                <w:sz w:val="18"/>
                <w:szCs w:val="20"/>
              </w:rPr>
              <w:t>人民网,”中国移动互联网发展报告（2021）”，互联网，2021年7月</w:t>
            </w:r>
          </w:p>
          <w:p>
            <w:pPr>
              <w:spacing w:line="0" w:lineRule="atLeast"/>
              <w:ind w:left="180" w:hanging="180" w:hangingChars="100"/>
              <w:rPr>
                <w:sz w:val="18"/>
                <w:szCs w:val="20"/>
              </w:rPr>
            </w:pPr>
            <w:r>
              <w:rPr>
                <w:rFonts w:hint="eastAsia"/>
                <w:sz w:val="18"/>
                <w:szCs w:val="20"/>
              </w:rPr>
              <w:t>中国互联网络信息中心，”第48次中国互联网络发展状况统计报告”，互联网，81页，2021年8月</w:t>
            </w:r>
          </w:p>
          <w:p>
            <w:pPr>
              <w:spacing w:line="0" w:lineRule="atLeast"/>
              <w:ind w:left="180" w:hanging="180" w:hangingChars="100"/>
              <w:rPr>
                <w:sz w:val="18"/>
                <w:szCs w:val="20"/>
              </w:rPr>
            </w:pPr>
          </w:p>
          <w:p>
            <w:pPr>
              <w:spacing w:line="0" w:lineRule="atLeast"/>
              <w:rPr>
                <w:sz w:val="18"/>
                <w:szCs w:val="20"/>
              </w:rPr>
            </w:pPr>
          </w:p>
          <w:p>
            <w:pPr>
              <w:spacing w:line="0" w:lineRule="atLeast"/>
              <w:rPr>
                <w:rFonts w:ascii="仿宋" w:hAnsi="仿宋" w:eastAsia="仿宋"/>
                <w:sz w:val="18"/>
                <w:szCs w:val="20"/>
              </w:rPr>
            </w:pPr>
          </w:p>
          <w:p>
            <w:pPr>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目：移动社交网络对可转债投资的影响</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主题词：可转债  移动社交网络  投资  收益</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 xml:space="preserve">  绪论 </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 xml:space="preserve">  研究背景、目的及意义</w:t>
            </w:r>
          </w:p>
          <w:p>
            <w:pPr>
              <w:rPr>
                <w:rFonts w:ascii="宋体" w:hAnsi="宋体" w:eastAsia="宋体"/>
                <w:sz w:val="24"/>
                <w:szCs w:val="24"/>
              </w:rPr>
            </w:pPr>
            <w:r>
              <w:rPr>
                <w:rFonts w:hint="eastAsia" w:ascii="宋体" w:hAnsi="宋体" w:eastAsia="宋体"/>
                <w:sz w:val="24"/>
                <w:szCs w:val="24"/>
              </w:rPr>
              <w:t xml:space="preserve">   1.2   研究方法</w:t>
            </w:r>
          </w:p>
          <w:p>
            <w:pPr>
              <w:rPr>
                <w:rFonts w:ascii="宋体" w:hAnsi="宋体" w:eastAsia="宋体"/>
                <w:sz w:val="24"/>
                <w:szCs w:val="24"/>
              </w:rPr>
            </w:pPr>
            <w:r>
              <w:rPr>
                <w:rFonts w:hint="eastAsia" w:ascii="宋体" w:hAnsi="宋体" w:eastAsia="宋体"/>
                <w:sz w:val="24"/>
                <w:szCs w:val="24"/>
              </w:rPr>
              <w:t xml:space="preserve">   1.3   研究的重点难点</w:t>
            </w:r>
          </w:p>
          <w:p>
            <w:pPr>
              <w:rPr>
                <w:rFonts w:ascii="宋体" w:hAnsi="宋体" w:eastAsia="宋体"/>
                <w:sz w:val="24"/>
                <w:szCs w:val="24"/>
              </w:rPr>
            </w:pPr>
            <w:r>
              <w:rPr>
                <w:rFonts w:hint="eastAsia" w:ascii="宋体" w:hAnsi="宋体" w:eastAsia="宋体"/>
                <w:sz w:val="24"/>
                <w:szCs w:val="24"/>
              </w:rPr>
              <w:t xml:space="preserve">   1.4   创新与不足之处</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第2章   文献综述</w:t>
            </w:r>
          </w:p>
          <w:p>
            <w:pPr>
              <w:rPr>
                <w:rFonts w:ascii="宋体" w:hAnsi="宋体" w:eastAsia="宋体"/>
                <w:sz w:val="24"/>
                <w:szCs w:val="24"/>
              </w:rPr>
            </w:pPr>
            <w:r>
              <w:rPr>
                <w:rFonts w:hint="eastAsia" w:ascii="宋体" w:hAnsi="宋体" w:eastAsia="宋体"/>
                <w:sz w:val="24"/>
                <w:szCs w:val="24"/>
              </w:rPr>
              <w:t xml:space="preserve">   2.1   关于移动社交网络的研究文献</w:t>
            </w:r>
          </w:p>
          <w:p>
            <w:pPr>
              <w:rPr>
                <w:rFonts w:ascii="宋体" w:hAnsi="宋体" w:eastAsia="宋体"/>
                <w:sz w:val="24"/>
                <w:szCs w:val="24"/>
              </w:rPr>
            </w:pPr>
            <w:r>
              <w:rPr>
                <w:rFonts w:hint="eastAsia" w:ascii="宋体" w:hAnsi="宋体" w:eastAsia="宋体"/>
                <w:sz w:val="24"/>
                <w:szCs w:val="24"/>
              </w:rPr>
              <w:t xml:space="preserve">   2.2   关于可转债投资的研究文献</w:t>
            </w:r>
          </w:p>
          <w:p>
            <w:pPr>
              <w:rPr>
                <w:rFonts w:ascii="宋体" w:hAnsi="宋体" w:eastAsia="宋体"/>
                <w:sz w:val="24"/>
                <w:szCs w:val="24"/>
              </w:rPr>
            </w:pPr>
            <w:r>
              <w:rPr>
                <w:rFonts w:hint="eastAsia" w:ascii="宋体" w:hAnsi="宋体" w:eastAsia="宋体"/>
                <w:sz w:val="24"/>
                <w:szCs w:val="24"/>
              </w:rPr>
              <w:t xml:space="preserve">   2.3   本章小结</w:t>
            </w:r>
          </w:p>
          <w:p>
            <w:pPr>
              <w:rPr>
                <w:rFonts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rPr>
              <w:t>第3章   移动社交网络发展与可转债投资收益的理论分析</w:t>
            </w:r>
          </w:p>
          <w:p>
            <w:pPr>
              <w:rPr>
                <w:rFonts w:hint="eastAsia" w:ascii="宋体" w:hAnsi="宋体" w:eastAsia="宋体"/>
                <w:sz w:val="24"/>
                <w:szCs w:val="24"/>
                <w:lang w:eastAsia="zh-CN"/>
              </w:rPr>
            </w:pPr>
            <w:r>
              <w:rPr>
                <w:rFonts w:hint="eastAsia" w:ascii="宋体" w:hAnsi="宋体" w:eastAsia="宋体"/>
                <w:sz w:val="24"/>
                <w:szCs w:val="24"/>
              </w:rPr>
              <w:t xml:space="preserve">   3.1   移动社交网络的发展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可转债规模增长及收益率变化情况</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   可转债投资策略理论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3.4   移动社交网络的发展对可转债影响的理论分析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3.4.1 移动社交网络发展对可转债打新的影响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3.4.3 移动社交网络发展对可转债轮动策略的影响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3.4.3 移动社交网络发展对可转债套利策略的影响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3.4.4 移动社交网络发展对可转债基金投资的影响</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3.5   本章小结</w:t>
            </w:r>
          </w:p>
          <w:p>
            <w:pPr>
              <w:rPr>
                <w:rFonts w:ascii="宋体" w:hAnsi="宋体" w:eastAsia="宋体"/>
                <w:sz w:val="24"/>
                <w:szCs w:val="24"/>
              </w:rPr>
            </w:pP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4</w:t>
            </w:r>
            <w:r>
              <w:rPr>
                <w:rFonts w:hint="eastAsia" w:ascii="宋体" w:hAnsi="宋体" w:eastAsia="宋体"/>
                <w:sz w:val="24"/>
                <w:szCs w:val="24"/>
              </w:rPr>
              <w:t>章   移动社交网络发展与可转债投资收益</w:t>
            </w:r>
            <w:r>
              <w:rPr>
                <w:rFonts w:hint="eastAsia" w:ascii="宋体" w:hAnsi="宋体" w:eastAsia="宋体"/>
                <w:sz w:val="24"/>
                <w:szCs w:val="24"/>
                <w:lang w:eastAsia="zh-CN"/>
              </w:rPr>
              <w:t>影响的研究设计</w:t>
            </w:r>
          </w:p>
          <w:p>
            <w:pPr>
              <w:rPr>
                <w:rFonts w:hint="eastAsia"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 xml:space="preserve">.1   </w:t>
            </w:r>
            <w:r>
              <w:rPr>
                <w:rFonts w:hint="eastAsia" w:ascii="宋体" w:hAnsi="宋体" w:eastAsia="宋体"/>
                <w:sz w:val="24"/>
                <w:szCs w:val="24"/>
                <w:lang w:val="en-US" w:eastAsia="zh-CN"/>
              </w:rPr>
              <w:t>样本选取与数据采集</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   相关假设</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定义变量</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4.3.1 被解释变量：可转债投资收益</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4.3.2 解释变量：</w:t>
            </w:r>
            <w:r>
              <w:rPr>
                <w:rFonts w:hint="eastAsia" w:ascii="宋体" w:hAnsi="宋体" w:eastAsia="宋体"/>
                <w:sz w:val="24"/>
                <w:szCs w:val="24"/>
              </w:rPr>
              <w:t>移动社交网络</w:t>
            </w:r>
            <w:r>
              <w:rPr>
                <w:rFonts w:hint="eastAsia" w:ascii="宋体" w:hAnsi="宋体" w:eastAsia="宋体"/>
                <w:sz w:val="24"/>
                <w:szCs w:val="24"/>
                <w:lang w:eastAsia="zh-CN"/>
              </w:rPr>
              <w:t>活跃用户规模</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4.3.3 控制变量：基准收益率、沪深300指数、换手率、可转债基金规模、相关政策</w:t>
            </w:r>
          </w:p>
          <w:p>
            <w:pPr>
              <w:rPr>
                <w:rFonts w:hint="eastAsia"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w:t>
            </w:r>
            <w:r>
              <w:rPr>
                <w:rFonts w:hint="eastAsia" w:ascii="宋体" w:hAnsi="宋体" w:eastAsia="宋体"/>
                <w:sz w:val="24"/>
                <w:szCs w:val="24"/>
                <w:lang w:val="en-US" w:eastAsia="zh-CN"/>
              </w:rPr>
              <w:t>4</w:t>
            </w:r>
            <w:r>
              <w:rPr>
                <w:rFonts w:hint="eastAsia" w:ascii="宋体" w:hAnsi="宋体" w:eastAsia="宋体"/>
                <w:sz w:val="24"/>
                <w:szCs w:val="24"/>
              </w:rPr>
              <w:t xml:space="preserve">   </w:t>
            </w:r>
            <w:r>
              <w:rPr>
                <w:rFonts w:hint="eastAsia" w:ascii="宋体" w:hAnsi="宋体" w:eastAsia="宋体"/>
                <w:sz w:val="24"/>
                <w:szCs w:val="24"/>
                <w:lang w:eastAsia="zh-CN"/>
              </w:rPr>
              <w:t>模型构建</w:t>
            </w:r>
          </w:p>
          <w:p>
            <w:pPr>
              <w:rPr>
                <w:rFonts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5</w:t>
            </w:r>
            <w:r>
              <w:rPr>
                <w:rFonts w:hint="eastAsia" w:ascii="宋体" w:hAnsi="宋体" w:eastAsia="宋体"/>
                <w:sz w:val="24"/>
                <w:szCs w:val="24"/>
              </w:rPr>
              <w:t>章   移动社交网络对可转债投资影响的实证分析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5.1   描述性统计</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5.2   相关性分析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5.3   </w:t>
            </w:r>
            <w:r>
              <w:rPr>
                <w:rFonts w:hint="eastAsia" w:ascii="宋体" w:hAnsi="宋体" w:eastAsia="宋体"/>
                <w:sz w:val="24"/>
                <w:szCs w:val="24"/>
              </w:rPr>
              <w:t>模型回归结果</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w:t>
            </w:r>
            <w:r>
              <w:rPr>
                <w:rFonts w:hint="eastAsia" w:ascii="宋体" w:hAnsi="宋体" w:eastAsia="宋体"/>
                <w:sz w:val="24"/>
                <w:szCs w:val="24"/>
                <w:lang w:val="en-US" w:eastAsia="zh-CN"/>
              </w:rPr>
              <w:t>4</w:t>
            </w:r>
            <w:r>
              <w:rPr>
                <w:rFonts w:hint="eastAsia" w:ascii="宋体" w:hAnsi="宋体" w:eastAsia="宋体"/>
                <w:sz w:val="24"/>
                <w:szCs w:val="24"/>
              </w:rPr>
              <w:t xml:space="preserve">   稳健性检验</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w:t>
            </w:r>
            <w:r>
              <w:rPr>
                <w:rFonts w:hint="eastAsia" w:ascii="宋体" w:hAnsi="宋体" w:eastAsia="宋体"/>
                <w:sz w:val="24"/>
                <w:szCs w:val="24"/>
                <w:lang w:val="en-US" w:eastAsia="zh-CN"/>
              </w:rPr>
              <w:t>5</w:t>
            </w:r>
            <w:r>
              <w:rPr>
                <w:rFonts w:hint="eastAsia" w:ascii="宋体" w:hAnsi="宋体" w:eastAsia="宋体"/>
                <w:sz w:val="24"/>
                <w:szCs w:val="24"/>
              </w:rPr>
              <w:t xml:space="preserve">   对结果的解释</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6</w:t>
            </w:r>
            <w:r>
              <w:rPr>
                <w:rFonts w:hint="eastAsia" w:ascii="宋体" w:hAnsi="宋体" w:eastAsia="宋体"/>
                <w:sz w:val="24"/>
                <w:szCs w:val="24"/>
              </w:rPr>
              <w:t>章   结论及建议</w:t>
            </w:r>
          </w:p>
          <w:p>
            <w:pPr>
              <w:rPr>
                <w:rFonts w:hint="eastAsia" w:ascii="宋体" w:hAnsi="宋体" w:eastAsia="宋体"/>
                <w:sz w:val="24"/>
                <w:szCs w:val="24"/>
                <w:lang w:eastAsia="zh-CN"/>
              </w:rPr>
            </w:pPr>
            <w:r>
              <w:rPr>
                <w:rFonts w:hint="eastAsia" w:ascii="宋体" w:hAnsi="宋体" w:eastAsia="宋体"/>
                <w:sz w:val="24"/>
                <w:szCs w:val="24"/>
              </w:rPr>
              <w:t xml:space="preserve">   </w:t>
            </w:r>
            <w:r>
              <w:rPr>
                <w:rFonts w:ascii="宋体" w:hAnsi="宋体" w:eastAsia="宋体"/>
                <w:sz w:val="24"/>
                <w:szCs w:val="24"/>
              </w:rPr>
              <w:t>6</w:t>
            </w:r>
            <w:r>
              <w:rPr>
                <w:rFonts w:hint="eastAsia" w:ascii="宋体" w:hAnsi="宋体" w:eastAsia="宋体"/>
                <w:sz w:val="24"/>
                <w:szCs w:val="24"/>
              </w:rPr>
              <w:t>.1   本文总结</w:t>
            </w:r>
            <w:r>
              <w:rPr>
                <w:rFonts w:hint="eastAsia" w:ascii="宋体" w:hAnsi="宋体" w:eastAsia="宋体"/>
                <w:sz w:val="24"/>
                <w:szCs w:val="24"/>
                <w:lang w:eastAsia="zh-CN"/>
              </w:rPr>
              <w:t>及建议</w:t>
            </w:r>
          </w:p>
          <w:p>
            <w:pPr>
              <w:rPr>
                <w:rFonts w:hint="eastAsia" w:eastAsia="宋体" w:asciiTheme="minorHAnsi" w:hAnsiTheme="minorHAnsi" w:cstheme="minorBidi"/>
                <w:kern w:val="2"/>
                <w:sz w:val="21"/>
                <w:szCs w:val="22"/>
                <w:lang w:val="en-US" w:eastAsia="zh-CN" w:bidi="ar-SA"/>
              </w:rPr>
            </w:pPr>
            <w:r>
              <w:rPr>
                <w:rFonts w:hint="eastAsia" w:ascii="宋体" w:hAnsi="宋体" w:eastAsia="宋体"/>
                <w:sz w:val="24"/>
                <w:szCs w:val="24"/>
              </w:rPr>
              <w:t xml:space="preserve">   </w:t>
            </w:r>
            <w:r>
              <w:rPr>
                <w:rFonts w:ascii="宋体" w:hAnsi="宋体" w:eastAsia="宋体"/>
                <w:sz w:val="24"/>
                <w:szCs w:val="24"/>
              </w:rPr>
              <w:t>6</w:t>
            </w:r>
            <w:r>
              <w:rPr>
                <w:rFonts w:hint="eastAsia" w:ascii="宋体" w:hAnsi="宋体" w:eastAsia="宋体"/>
                <w:sz w:val="24"/>
                <w:szCs w:val="24"/>
              </w:rPr>
              <w:t xml:space="preserve">.2   </w:t>
            </w:r>
            <w:r>
              <w:rPr>
                <w:rFonts w:hint="eastAsia" w:ascii="宋体" w:hAnsi="宋体" w:eastAsia="宋体"/>
                <w:sz w:val="24"/>
                <w:szCs w:val="24"/>
                <w:lang w:eastAsia="zh-CN"/>
              </w:rPr>
              <w:t>不足</w:t>
            </w:r>
            <w:bookmarkStart w:id="1" w:name="_GoBack"/>
            <w:bookmarkEnd w:id="1"/>
            <w:r>
              <w:rPr>
                <w:rFonts w:hint="eastAsia" w:ascii="宋体" w:hAnsi="宋体" w:eastAsia="宋体"/>
                <w:sz w:val="24"/>
                <w:szCs w:val="24"/>
                <w:lang w:eastAsia="zh-CN"/>
              </w:rPr>
              <w:t>及展望</w:t>
            </w:r>
          </w:p>
        </w:tc>
      </w:tr>
    </w:tbl>
    <w:p>
      <w:pPr>
        <w:rPr>
          <w:rFonts w:ascii="宋体" w:hAnsi="宋体" w:eastAsia="宋体"/>
          <w:sz w:val="32"/>
          <w:szCs w:val="32"/>
        </w:rPr>
      </w:pPr>
    </w:p>
    <w:sectPr>
      <w:pgSz w:w="11906" w:h="16838"/>
      <w:pgMar w:top="1021"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19"/>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0E701A"/>
    <w:rsid w:val="001C5A8D"/>
    <w:rsid w:val="00252F6C"/>
    <w:rsid w:val="0037006F"/>
    <w:rsid w:val="003B2AF2"/>
    <w:rsid w:val="003F2DEE"/>
    <w:rsid w:val="004D009B"/>
    <w:rsid w:val="004D5DA9"/>
    <w:rsid w:val="00654149"/>
    <w:rsid w:val="006F3E09"/>
    <w:rsid w:val="006F4DEA"/>
    <w:rsid w:val="00792637"/>
    <w:rsid w:val="008D0F26"/>
    <w:rsid w:val="009C6A81"/>
    <w:rsid w:val="00C50C1E"/>
    <w:rsid w:val="00C73A3E"/>
    <w:rsid w:val="00C80F1D"/>
    <w:rsid w:val="00DB496B"/>
    <w:rsid w:val="00E03F74"/>
    <w:rsid w:val="00EC08FB"/>
    <w:rsid w:val="00F174B7"/>
    <w:rsid w:val="00F66126"/>
    <w:rsid w:val="00F9166F"/>
    <w:rsid w:val="00FA6165"/>
    <w:rsid w:val="0274153E"/>
    <w:rsid w:val="0DC777DB"/>
    <w:rsid w:val="106A10DB"/>
    <w:rsid w:val="162327F1"/>
    <w:rsid w:val="17DE4E3C"/>
    <w:rsid w:val="1CF630C6"/>
    <w:rsid w:val="220470A8"/>
    <w:rsid w:val="26250493"/>
    <w:rsid w:val="2C270644"/>
    <w:rsid w:val="36D535A8"/>
    <w:rsid w:val="38C626B9"/>
    <w:rsid w:val="3A60659C"/>
    <w:rsid w:val="3C3814A4"/>
    <w:rsid w:val="410309CB"/>
    <w:rsid w:val="442D3D49"/>
    <w:rsid w:val="45C0173A"/>
    <w:rsid w:val="4F6464EF"/>
    <w:rsid w:val="52995904"/>
    <w:rsid w:val="58085129"/>
    <w:rsid w:val="5B68677C"/>
    <w:rsid w:val="5D186716"/>
    <w:rsid w:val="5E186B5B"/>
    <w:rsid w:val="669C4F76"/>
    <w:rsid w:val="68001BBD"/>
    <w:rsid w:val="6B6D42FF"/>
    <w:rsid w:val="72487692"/>
    <w:rsid w:val="76E147E6"/>
    <w:rsid w:val="7C1C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rPr>
  </w:style>
  <w:style w:type="paragraph" w:styleId="10">
    <w:name w:val="List Paragraph"/>
    <w:basedOn w:val="1"/>
    <w:qFormat/>
    <w:uiPriority w:val="34"/>
    <w:pPr>
      <w:ind w:firstLine="420" w:firstLineChars="200"/>
    </w:p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character" w:customStyle="1" w:styleId="13">
    <w:name w:val="fontstyle01"/>
    <w:basedOn w:val="8"/>
    <w:qFormat/>
    <w:uiPriority w:val="0"/>
    <w:rPr>
      <w:rFonts w:hint="default" w:ascii="Times New Roman" w:hAnsi="Times New Roman" w:cs="Times New Roman"/>
      <w:color w:val="000000"/>
      <w:sz w:val="24"/>
      <w:szCs w:val="24"/>
    </w:rPr>
  </w:style>
  <w:style w:type="character" w:customStyle="1" w:styleId="14">
    <w:name w:val="标题 3 字符"/>
    <w:basedOn w:val="8"/>
    <w:link w:val="3"/>
    <w:semiHidden/>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A77FAA-192B-43C5-AC6A-BC72A331BE6C}">
  <ds:schemaRefs/>
</ds:datastoreItem>
</file>

<file path=docProps/app.xml><?xml version="1.0" encoding="utf-8"?>
<Properties xmlns="http://schemas.openxmlformats.org/officeDocument/2006/extended-properties" xmlns:vt="http://schemas.openxmlformats.org/officeDocument/2006/docPropsVTypes">
  <Template>Normal</Template>
  <Pages>7</Pages>
  <Words>730</Words>
  <Characters>4163</Characters>
  <Lines>34</Lines>
  <Paragraphs>9</Paragraphs>
  <TotalTime>6</TotalTime>
  <ScaleCrop>false</ScaleCrop>
  <LinksUpToDate>false</LinksUpToDate>
  <CharactersWithSpaces>4884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杨超</cp:lastModifiedBy>
  <cp:lastPrinted>2021-12-14T10:40:00Z</cp:lastPrinted>
  <dcterms:modified xsi:type="dcterms:W3CDTF">2022-01-12T12:10:20Z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D5D9A52FA28C4F59A49A0AD1F272A34B</vt:lpwstr>
  </property>
</Properties>
</file>