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72"/>
        <w:gridCol w:w="1278"/>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资格卡号</w:t>
            </w:r>
          </w:p>
        </w:tc>
        <w:tc>
          <w:tcPr>
            <w:tcW w:w="3114"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01040572</w:t>
            </w:r>
          </w:p>
        </w:tc>
        <w:tc>
          <w:tcPr>
            <w:tcW w:w="1504" w:type="dxa"/>
            <w:gridSpan w:val="2"/>
            <w:vAlign w:val="center"/>
          </w:tcPr>
          <w:p>
            <w:pPr>
              <w:jc w:val="center"/>
              <w:rPr>
                <w:rFonts w:ascii="宋体" w:hAnsi="宋体" w:eastAsia="宋体"/>
                <w:sz w:val="24"/>
              </w:rPr>
            </w:pPr>
            <w:r>
              <w:rPr>
                <w:rFonts w:hint="eastAsia" w:ascii="宋体" w:hAnsi="宋体" w:eastAsia="宋体"/>
                <w:sz w:val="24"/>
              </w:rPr>
              <w:t>姓    名</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张文鹏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所在地区</w:t>
            </w:r>
          </w:p>
        </w:tc>
        <w:tc>
          <w:tcPr>
            <w:tcW w:w="3114" w:type="dxa"/>
            <w:gridSpan w:val="3"/>
            <w:vAlign w:val="center"/>
          </w:tcPr>
          <w:p>
            <w:pPr>
              <w:rPr>
                <w:rFonts w:hint="eastAsia" w:ascii="宋体" w:hAnsi="宋体" w:eastAsia="宋体"/>
                <w:sz w:val="24"/>
                <w:lang w:eastAsia="zh-CN"/>
              </w:rPr>
            </w:pPr>
            <w:r>
              <w:rPr>
                <w:rFonts w:hint="eastAsia" w:ascii="宋体" w:hAnsi="宋体" w:eastAsia="宋体"/>
                <w:color w:val="auto"/>
                <w:sz w:val="24"/>
                <w:lang w:val="en-US" w:eastAsia="zh-CN"/>
              </w:rPr>
              <w:t>深圳</w:t>
            </w:r>
          </w:p>
        </w:tc>
        <w:tc>
          <w:tcPr>
            <w:tcW w:w="1504"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963" w:type="dxa"/>
            <w:gridSpan w:val="3"/>
            <w:vAlign w:val="center"/>
          </w:tcPr>
          <w:p>
            <w:pPr>
              <w:rPr>
                <w:rFonts w:hint="eastAsia" w:ascii="宋体" w:hAnsi="宋体" w:eastAsia="宋体"/>
                <w:sz w:val="24"/>
                <w:lang w:eastAsia="zh-CN"/>
              </w:rPr>
            </w:pPr>
            <w:r>
              <w:rPr>
                <w:rFonts w:hint="eastAsia" w:ascii="宋体" w:hAnsi="宋体" w:eastAsia="宋体"/>
                <w:color w:val="auto"/>
                <w:sz w:val="24"/>
                <w:lang w:val="en-US" w:eastAsia="zh-CN"/>
              </w:rPr>
              <w:t>网络经济学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联系电话</w:t>
            </w:r>
          </w:p>
        </w:tc>
        <w:tc>
          <w:tcPr>
            <w:tcW w:w="3114"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18682150151</w:t>
            </w:r>
          </w:p>
        </w:tc>
        <w:tc>
          <w:tcPr>
            <w:tcW w:w="1504"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fldChar w:fldCharType="begin"/>
            </w:r>
            <w:r>
              <w:rPr>
                <w:rFonts w:hint="eastAsia" w:ascii="宋体" w:hAnsi="宋体" w:eastAsia="宋体"/>
                <w:sz w:val="24"/>
                <w:lang w:val="en-US" w:eastAsia="zh-CN"/>
              </w:rPr>
              <w:instrText xml:space="preserve"> HYPERLINK "mailto:wenpeng9708@qq.com" </w:instrText>
            </w:r>
            <w:r>
              <w:rPr>
                <w:rFonts w:hint="eastAsia" w:ascii="宋体" w:hAnsi="宋体" w:eastAsia="宋体"/>
                <w:sz w:val="24"/>
                <w:lang w:val="en-US" w:eastAsia="zh-CN"/>
              </w:rPr>
              <w:fldChar w:fldCharType="separate"/>
            </w:r>
            <w:r>
              <w:rPr>
                <w:rStyle w:val="6"/>
                <w:rFonts w:hint="eastAsia" w:ascii="宋体" w:hAnsi="宋体" w:eastAsia="宋体"/>
                <w:sz w:val="24"/>
                <w:lang w:val="en-US" w:eastAsia="zh-CN"/>
              </w:rPr>
              <w:t>wenpeng9708@qq.com</w:t>
            </w:r>
            <w:r>
              <w:rPr>
                <w:rFonts w:hint="eastAsia" w:ascii="宋体" w:hAnsi="宋体" w:eastAsia="宋体"/>
                <w:sz w:val="24"/>
                <w:lang w:val="en-US"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本科毕业院校</w:t>
            </w:r>
          </w:p>
        </w:tc>
        <w:tc>
          <w:tcPr>
            <w:tcW w:w="3114"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西安邮电大学</w:t>
            </w:r>
          </w:p>
        </w:tc>
        <w:tc>
          <w:tcPr>
            <w:tcW w:w="1504"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电子与信息工程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工作单位</w:t>
            </w:r>
          </w:p>
        </w:tc>
        <w:tc>
          <w:tcPr>
            <w:tcW w:w="3114"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深圳乐信软件技术有限公司</w:t>
            </w:r>
          </w:p>
        </w:tc>
        <w:tc>
          <w:tcPr>
            <w:tcW w:w="1504"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高级总监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581" w:type="dxa"/>
            <w:gridSpan w:val="8"/>
            <w:vAlign w:val="center"/>
          </w:tcPr>
          <w:p>
            <w:pPr>
              <w:ind w:firstLine="480" w:firstLineChars="200"/>
              <w:rPr>
                <w:rFonts w:hint="eastAsia" w:ascii="宋体" w:hAnsi="宋体" w:eastAsia="宋体"/>
                <w:sz w:val="24"/>
                <w:lang w:val="en-US" w:eastAsia="zh-CN"/>
              </w:rPr>
            </w:pPr>
            <w:r>
              <w:rPr>
                <w:rFonts w:hint="eastAsia" w:ascii="宋体" w:hAnsi="宋体" w:eastAsia="宋体"/>
                <w:sz w:val="24"/>
                <w:lang w:val="en-US" w:eastAsia="zh-CN"/>
              </w:rPr>
              <w:t>本人2012年本科毕业后进入实习单位腾讯财付通部门工作，后转至微信支付部门，从事产品经理岗位。作为核心成员参与财付通快捷支付、微信红包、微信支付基础体验、商户服务和营销工具等项目。目前就职于一家互联网金融公司乐信集团，负责旗下消费信贷产品分期乐的消费金融业务，主管用户增长、融资匹配及金融机构对接业务，2021年贷款规模近2000亿人民币。</w:t>
            </w:r>
          </w:p>
          <w:p>
            <w:pPr>
              <w:ind w:firstLine="480" w:firstLineChars="200"/>
              <w:rPr>
                <w:rFonts w:hint="default" w:ascii="宋体" w:hAnsi="宋体" w:eastAsia="宋体"/>
                <w:sz w:val="24"/>
                <w:lang w:val="en-US" w:eastAsia="zh-CN"/>
              </w:rPr>
            </w:pPr>
            <w:r>
              <w:rPr>
                <w:rFonts w:hint="eastAsia" w:ascii="宋体" w:hAnsi="宋体" w:eastAsia="宋体"/>
                <w:sz w:val="24"/>
                <w:lang w:val="en-US" w:eastAsia="zh-CN"/>
              </w:rPr>
              <w:t>我随着中国的互联网金融行业一同成长，对第三方支付、小额</w:t>
            </w:r>
            <w:bookmarkStart w:id="0" w:name="_GoBack"/>
            <w:bookmarkEnd w:id="0"/>
            <w:r>
              <w:rPr>
                <w:rFonts w:hint="eastAsia" w:ascii="宋体" w:hAnsi="宋体" w:eastAsia="宋体"/>
                <w:sz w:val="24"/>
                <w:lang w:val="en-US" w:eastAsia="zh-CN"/>
              </w:rPr>
              <w:t>信贷行业较为熟悉。在工作之余仍持续学习，已获得会计从业资格证、银行从业资格、证券从业资格和基金从业资格。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科研成果</w:t>
            </w:r>
          </w:p>
        </w:tc>
        <w:tc>
          <w:tcPr>
            <w:tcW w:w="1278"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eastAsia="zh-CN"/>
              </w:rPr>
            </w:pPr>
            <w:r>
              <w:rPr>
                <w:rFonts w:hint="eastAsia" w:ascii="宋体" w:hAnsi="宋体" w:eastAsia="宋体"/>
                <w:color w:val="auto"/>
                <w:sz w:val="24"/>
                <w:lang w:val="en-US" w:eastAsia="zh-CN"/>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eastAsia="zh-CN"/>
              </w:rPr>
            </w:pPr>
            <w:r>
              <w:rPr>
                <w:rFonts w:hint="eastAsia" w:ascii="宋体" w:hAnsi="宋体" w:eastAsia="宋体"/>
                <w:color w:val="auto"/>
                <w:sz w:val="24"/>
                <w:lang w:val="en-US" w:eastAsia="zh-CN"/>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533"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4298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发表文章题目</w:t>
            </w:r>
          </w:p>
        </w:tc>
        <w:tc>
          <w:tcPr>
            <w:tcW w:w="7581" w:type="dxa"/>
            <w:gridSpan w:val="8"/>
            <w:vAlign w:val="center"/>
          </w:tcPr>
          <w:p>
            <w:pPr>
              <w:rPr>
                <w:rFonts w:hint="eastAsia" w:ascii="宋体" w:hAnsi="宋体" w:eastAsia="宋体"/>
                <w:sz w:val="24"/>
                <w:lang w:val="en-US" w:eastAsia="zh-CN"/>
              </w:rPr>
            </w:pPr>
            <w:r>
              <w:rPr>
                <w:rFonts w:hint="eastAsia" w:ascii="宋体" w:hAnsi="宋体" w:eastAsia="宋体"/>
                <w:sz w:val="24"/>
                <w:lang w:val="en-US" w:eastAsia="zh-CN"/>
              </w:rPr>
              <w:t>《互联网消费信贷产品利率趋势研究》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发表文章刊物</w:t>
            </w:r>
          </w:p>
        </w:tc>
        <w:tc>
          <w:tcPr>
            <w:tcW w:w="7581" w:type="dxa"/>
            <w:gridSpan w:val="8"/>
            <w:vAlign w:val="center"/>
          </w:tcPr>
          <w:p>
            <w:pPr>
              <w:rPr>
                <w:rFonts w:hint="eastAsia" w:ascii="宋体" w:hAnsi="宋体" w:eastAsia="宋体"/>
                <w:sz w:val="24"/>
                <w:lang w:val="en-US" w:eastAsia="zh-CN"/>
              </w:rPr>
            </w:pPr>
            <w:r>
              <w:rPr>
                <w:rFonts w:hint="eastAsia" w:ascii="宋体" w:hAnsi="宋体" w:eastAsia="宋体"/>
                <w:sz w:val="24"/>
                <w:lang w:eastAsia="zh-CN"/>
              </w:rPr>
              <w:t>《</w:t>
            </w:r>
            <w:r>
              <w:rPr>
                <w:rFonts w:hint="eastAsia" w:ascii="宋体" w:hAnsi="宋体" w:eastAsia="宋体"/>
                <w:sz w:val="24"/>
                <w:lang w:val="en-US" w:eastAsia="zh-CN"/>
              </w:rPr>
              <w:t>财经界</w:t>
            </w:r>
            <w:r>
              <w:rPr>
                <w:rFonts w:hint="eastAsia" w:ascii="宋体" w:hAnsi="宋体" w:eastAsia="宋体"/>
                <w:sz w:val="24"/>
                <w:lang w:eastAsia="zh-CN"/>
              </w:rPr>
              <w:t>》</w:t>
            </w:r>
            <w:r>
              <w:rPr>
                <w:rFonts w:hint="eastAsia" w:ascii="宋体" w:hAnsi="宋体" w:eastAsia="宋体"/>
                <w:sz w:val="24"/>
                <w:lang w:val="en-US" w:eastAsia="zh-CN"/>
              </w:rPr>
              <w:t>2021年11月 总第603期</w:t>
            </w:r>
          </w:p>
          <w:p>
            <w:pPr>
              <w:rPr>
                <w:rFonts w:hint="eastAsia" w:ascii="宋体" w:hAnsi="宋体" w:eastAsia="宋体"/>
                <w:sz w:val="24"/>
                <w:lang w:val="en-US" w:eastAsia="zh-CN"/>
              </w:rPr>
            </w:pPr>
            <w:r>
              <w:rPr>
                <w:rFonts w:hint="eastAsia" w:ascii="宋体" w:hAnsi="宋体" w:eastAsia="宋体"/>
                <w:sz w:val="24"/>
                <w:lang w:val="en-US" w:eastAsia="zh-CN"/>
              </w:rPr>
              <w:t>国内统一刊号：CN 11-4098</w:t>
            </w:r>
          </w:p>
          <w:p>
            <w:pPr>
              <w:rPr>
                <w:rFonts w:hint="default" w:ascii="宋体" w:hAnsi="宋体" w:eastAsia="宋体"/>
                <w:sz w:val="24"/>
                <w:lang w:val="en-US" w:eastAsia="zh-CN"/>
              </w:rPr>
            </w:pPr>
            <w:r>
              <w:rPr>
                <w:rFonts w:hint="eastAsia" w:ascii="宋体" w:hAnsi="宋体" w:eastAsia="宋体"/>
                <w:sz w:val="24"/>
                <w:lang w:val="en-US" w:eastAsia="zh-CN"/>
              </w:rPr>
              <w:t>国际标准刊号：ISSN 1009-2781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79" w:hRule="atLeast"/>
          <w:jc w:val="center"/>
        </w:trPr>
        <w:tc>
          <w:tcPr>
            <w:tcW w:w="2272" w:type="dxa"/>
            <w:vAlign w:val="center"/>
          </w:tcPr>
          <w:p>
            <w:pPr>
              <w:jc w:val="center"/>
              <w:rPr>
                <w:rFonts w:ascii="宋体" w:hAnsi="宋体" w:eastAsia="宋体"/>
                <w:sz w:val="24"/>
              </w:rPr>
            </w:pPr>
            <w:r>
              <w:rPr>
                <w:rFonts w:hint="eastAsia" w:ascii="宋体" w:hAnsi="宋体" w:eastAsia="宋体"/>
                <w:sz w:val="24"/>
              </w:rPr>
              <w:t>发表文章内容简介</w:t>
            </w:r>
          </w:p>
        </w:tc>
        <w:tc>
          <w:tcPr>
            <w:tcW w:w="7581" w:type="dxa"/>
            <w:gridSpan w:val="8"/>
            <w:vAlign w:val="center"/>
          </w:tcPr>
          <w:p>
            <w:pPr>
              <w:ind w:firstLine="480" w:firstLineChars="200"/>
              <w:rPr>
                <w:rFonts w:ascii="宋体" w:hAnsi="宋体" w:eastAsia="宋体"/>
                <w:sz w:val="24"/>
              </w:rPr>
            </w:pPr>
            <w:r>
              <w:rPr>
                <w:rFonts w:hint="eastAsia" w:ascii="宋体" w:hAnsi="宋体" w:eastAsia="宋体"/>
                <w:sz w:val="24"/>
              </w:rPr>
              <w:t>随着消费市场规模的快速增长和互联网金融业务的发展，消费信贷业务在最近几年快速发展，大幅降低了信贷服务的门槛。随处可见消费信贷产品的广告，刺激着年轻人的消费欲望。然而野蛮生长的行业也伴随着高利率的乱象，引发了很多社会问题，受到了金融监管的关注。本文研究了近几年金融监管对于互联网消费信贷产品在利率方面的一系列监管手段的背景和趋势，总结了当下的监管要求，并推测监管思路和目标。</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RiNTE4MWNkZmIyMTYxNTZkZjAxM2E5ZWQwMDUwZWYifQ=="/>
  </w:docVars>
  <w:rsids>
    <w:rsidRoot w:val="00AB5DD7"/>
    <w:rsid w:val="000D616E"/>
    <w:rsid w:val="00111AC2"/>
    <w:rsid w:val="001C3791"/>
    <w:rsid w:val="001D4ABC"/>
    <w:rsid w:val="001F2172"/>
    <w:rsid w:val="003032FB"/>
    <w:rsid w:val="003C213C"/>
    <w:rsid w:val="00556D05"/>
    <w:rsid w:val="006D0631"/>
    <w:rsid w:val="00761113"/>
    <w:rsid w:val="00807310"/>
    <w:rsid w:val="00810B0E"/>
    <w:rsid w:val="008405C5"/>
    <w:rsid w:val="009D0666"/>
    <w:rsid w:val="00A32456"/>
    <w:rsid w:val="00AB5DD7"/>
    <w:rsid w:val="00F20AD3"/>
    <w:rsid w:val="00FF1C5E"/>
    <w:rsid w:val="0642431F"/>
    <w:rsid w:val="08947BEC"/>
    <w:rsid w:val="0C27781C"/>
    <w:rsid w:val="32494863"/>
    <w:rsid w:val="43566DE0"/>
    <w:rsid w:val="478525B8"/>
    <w:rsid w:val="53422EDD"/>
    <w:rsid w:val="5DBE5856"/>
    <w:rsid w:val="780E5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409</Words>
  <Characters>467</Characters>
  <Lines>1</Lines>
  <Paragraphs>1</Paragraphs>
  <TotalTime>143</TotalTime>
  <ScaleCrop>false</ScaleCrop>
  <LinksUpToDate>false</LinksUpToDate>
  <CharactersWithSpaces>476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Lenovo</cp:lastModifiedBy>
  <dcterms:modified xsi:type="dcterms:W3CDTF">2022-07-21T18:07:28Z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E5733A675F76447D98FBC67DE080C38D</vt:lpwstr>
  </property>
</Properties>
</file>